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8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4028"/>
        <w:gridCol w:w="969"/>
        <w:gridCol w:w="30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指标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2023年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生师比*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：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10.65:1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双师素质专任教师比例*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%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71.17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高级专业技术职务专任教师比例*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%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34.52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专业群数量*</w:t>
            </w:r>
          </w:p>
        </w:tc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专业数量*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教学计划内课程总数*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学时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58512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其中：课证融通课程数*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学时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网络教学课程数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学时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专业教学资源库数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其中：国家级数量*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接入国家智慧教育平台数量*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省级数量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接入国家智慧教育平台数量*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校级数量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接入国家智慧教育平台数量*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rPr>
          <w:trHeight w:val="454" w:hRule="atLeast"/>
          <w:jc w:val="center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在线精品课程数*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学时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在线精品课程课均学生数*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人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其中：国家级数量*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接入国家智慧教育平台数量*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30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省级数量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接入国家智慧教育平台数量*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30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校级数量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接入国家智慧教育平台数量*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虚拟仿真实训基地数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其中：国家级数量*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接入国家智慧教育平台数量*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30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省级数量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接入国家智慧教育平台数量*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30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校级数量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接入国家智慧教育平台数量*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编写教材数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其中：国家规划教材数量*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30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校企合作编写教材数量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30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新形态教材数量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30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接入国家智慧教育平台数量*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互联网出口带宽*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Mbps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500Mb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校园网主干最大带宽*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Mbps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10000Mb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生均校内实践教学工位数*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个/生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生均教学科研仪器设备值*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元/生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14895.82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说明：请逐一列出学校专业群及核心专业，并选择对接产业链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ZmQ0ZDg1ZGFkMDQxYzRjZDY3NTM4NmUxNDk5YzIifQ=="/>
  </w:docVars>
  <w:rsids>
    <w:rsidRoot w:val="00000000"/>
    <w:rsid w:val="5CAF2D3C"/>
    <w:rsid w:val="5EB4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1"/>
    <w:basedOn w:val="2"/>
    <w:next w:val="1"/>
    <w:uiPriority w:val="0"/>
    <w:pPr>
      <w:ind w:firstLine="562" w:firstLineChars="200"/>
    </w:pPr>
    <w:rPr>
      <w:rFonts w:asciiTheme="majorAscii" w:hAnsiTheme="majorAscii" w:eastAsiaTheme="majorEastAsia" w:cstheme="majorEastAsia"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2024-01-21T02:33:00Z</dcterms:created>
  <dc:creator>HP</dc:creator>
  <cp:lastModifiedBy>伪成孤膊贪</cp:lastModifiedBy>
  <dcterms:modified xsi:type="dcterms:W3CDTF">2024-05-24T08:44:25Z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C5AC46E9ED924DB794E779482792D4E3_12</vt:lpwstr>
  </property>
</Properties>
</file>