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烟台市</w:t>
      </w:r>
      <w:r>
        <w:rPr>
          <w:rFonts w:hint="eastAsia" w:ascii="方正小标宋简体" w:hAnsi="方正小标宋简体" w:eastAsia="方正小标宋简体" w:cs="方正小标宋简体"/>
          <w:color w:val="auto"/>
          <w:sz w:val="44"/>
          <w:szCs w:val="44"/>
        </w:rPr>
        <w:t>“十四五”</w:t>
      </w:r>
      <w:r>
        <w:rPr>
          <w:rFonts w:hint="eastAsia" w:ascii="方正小标宋简体" w:hAnsi="方正小标宋简体" w:eastAsia="方正小标宋简体" w:cs="方正小标宋简体"/>
          <w:color w:val="auto"/>
          <w:sz w:val="44"/>
          <w:szCs w:val="44"/>
          <w:lang w:val="en-US" w:eastAsia="zh-CN"/>
        </w:rPr>
        <w:t>知识产权强市战略纲要</w:t>
      </w:r>
    </w:p>
    <w:p>
      <w:pPr>
        <w:bidi w:val="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trike w:val="0"/>
          <w:dstrike w:val="0"/>
          <w:color w:val="auto"/>
          <w:sz w:val="32"/>
          <w:szCs w:val="32"/>
          <w:lang w:val="en-US" w:eastAsia="zh-CN"/>
        </w:rPr>
        <w:t>征求意见</w:t>
      </w:r>
      <w:r>
        <w:rPr>
          <w:rFonts w:hint="eastAsia" w:ascii="仿宋_GB2312" w:hAnsi="仿宋_GB2312" w:eastAsia="仿宋_GB2312" w:cs="仿宋_GB2312"/>
          <w:color w:val="auto"/>
          <w:sz w:val="32"/>
          <w:szCs w:val="32"/>
          <w:lang w:val="en-US" w:eastAsia="zh-CN"/>
        </w:rPr>
        <w:t>稿</w:t>
      </w:r>
      <w:r>
        <w:rPr>
          <w:rFonts w:hint="eastAsia" w:ascii="仿宋_GB2312" w:hAnsi="仿宋_GB2312" w:eastAsia="仿宋_GB2312" w:cs="仿宋_GB2312"/>
          <w:color w:val="auto"/>
          <w:sz w:val="32"/>
          <w:szCs w:val="32"/>
          <w:lang w:eastAsia="zh-CN"/>
        </w:rPr>
        <w:t>）</w:t>
      </w:r>
    </w:p>
    <w:p>
      <w:pPr>
        <w:bidi w:val="0"/>
        <w:rPr>
          <w:rFonts w:hint="eastAsia" w:ascii="仿宋_GB2312" w:hAnsi="仿宋_GB2312" w:eastAsia="仿宋_GB2312" w:cs="仿宋_GB2312"/>
          <w:color w:val="auto"/>
          <w:sz w:val="32"/>
          <w:szCs w:val="32"/>
          <w:lang w:eastAsia="zh-CN"/>
        </w:rPr>
      </w:pPr>
    </w:p>
    <w:sdt>
      <w:sdtPr>
        <w:rPr>
          <w:rFonts w:ascii="宋体" w:hAnsi="宋体" w:eastAsia="宋体" w:cstheme="minorBidi"/>
          <w:color w:val="auto"/>
          <w:kern w:val="2"/>
          <w:sz w:val="21"/>
          <w:szCs w:val="24"/>
          <w:lang w:val="en-US" w:eastAsia="zh-CN" w:bidi="ar-SA"/>
        </w:rPr>
        <w:id w:val="147460836"/>
        <w15:color w:val="DBDBDB"/>
        <w:docPartObj>
          <w:docPartGallery w:val="Table of Contents"/>
          <w:docPartUnique/>
        </w:docPartObj>
      </w:sdtPr>
      <w:sdtEndPr>
        <w:rPr>
          <w:rFonts w:hint="eastAsia" w:ascii="仿宋_GB2312" w:hAnsi="仿宋_GB2312" w:eastAsia="仿宋_GB2312" w:cs="仿宋_GB2312"/>
          <w:color w:val="auto"/>
          <w:kern w:val="2"/>
          <w:sz w:val="21"/>
          <w:szCs w:val="32"/>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bookmarkStart w:id="56" w:name="_GoBack"/>
          <w:bookmarkEnd w:id="56"/>
          <w:r>
            <w:rPr>
              <w:rFonts w:hint="eastAsia" w:ascii="仿宋_GB2312" w:hAnsi="仿宋_GB2312" w:eastAsia="仿宋_GB2312" w:cs="仿宋_GB2312"/>
              <w:color w:val="auto"/>
              <w:sz w:val="32"/>
              <w:szCs w:val="32"/>
            </w:rPr>
            <w:t>目</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录</w:t>
          </w:r>
        </w:p>
        <w:p>
          <w:pPr>
            <w:pStyle w:val="12"/>
            <w:tabs>
              <w:tab w:val="right" w:leader="dot" w:pos="8306"/>
            </w:tabs>
            <w:rPr>
              <w:rFonts w:hint="eastAsia" w:ascii="黑体" w:hAnsi="黑体" w:eastAsia="黑体" w:cs="黑体"/>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TOC \o "1-3" \h \u </w:instrText>
          </w:r>
          <w:r>
            <w:rPr>
              <w:rFonts w:hint="eastAsia" w:ascii="仿宋_GB2312" w:hAnsi="仿宋_GB2312" w:eastAsia="仿宋_GB2312" w:cs="仿宋_GB2312"/>
              <w:color w:val="auto"/>
              <w:sz w:val="28"/>
              <w:szCs w:val="28"/>
            </w:rPr>
            <w:fldChar w:fldCharType="separate"/>
          </w:r>
          <w:r>
            <w:rPr>
              <w:rFonts w:hint="eastAsia" w:ascii="黑体" w:hAnsi="黑体" w:eastAsia="黑体" w:cs="黑体"/>
              <w:color w:val="auto"/>
              <w:sz w:val="28"/>
              <w:szCs w:val="28"/>
            </w:rPr>
            <w:fldChar w:fldCharType="begin"/>
          </w:r>
          <w:r>
            <w:rPr>
              <w:rFonts w:hint="eastAsia" w:ascii="黑体" w:hAnsi="黑体" w:eastAsia="黑体" w:cs="黑体"/>
              <w:color w:val="auto"/>
              <w:sz w:val="28"/>
              <w:szCs w:val="28"/>
            </w:rPr>
            <w:instrText xml:space="preserve"> HYPERLINK \l _Toc1875 </w:instrText>
          </w:r>
          <w:r>
            <w:rPr>
              <w:rFonts w:hint="eastAsia" w:ascii="黑体" w:hAnsi="黑体" w:eastAsia="黑体" w:cs="黑体"/>
              <w:color w:val="auto"/>
              <w:sz w:val="28"/>
              <w:szCs w:val="28"/>
            </w:rPr>
            <w:fldChar w:fldCharType="separate"/>
          </w:r>
          <w:r>
            <w:rPr>
              <w:rFonts w:hint="eastAsia" w:ascii="黑体" w:hAnsi="黑体" w:eastAsia="黑体" w:cs="黑体"/>
              <w:color w:val="auto"/>
              <w:sz w:val="28"/>
              <w:szCs w:val="28"/>
              <w:lang w:val="en-US" w:eastAsia="zh-CN"/>
            </w:rPr>
            <w:t>一、发展基础</w:t>
          </w:r>
          <w:r>
            <w:rPr>
              <w:rFonts w:hint="eastAsia" w:ascii="仿宋_GB2312" w:hAnsi="仿宋_GB2312" w:eastAsia="仿宋_GB2312" w:cs="仿宋_GB2312"/>
              <w:color w:val="auto"/>
              <w:kern w:val="2"/>
              <w:sz w:val="28"/>
              <w:szCs w:val="28"/>
              <w:lang w:val="en-US" w:eastAsia="zh-CN" w:bidi="ar-SA"/>
            </w:rPr>
            <w:tab/>
          </w:r>
          <w:r>
            <w:rPr>
              <w:rFonts w:hint="eastAsia" w:ascii="仿宋_GB2312" w:hAnsi="仿宋_GB2312" w:eastAsia="仿宋_GB2312" w:cs="仿宋_GB2312"/>
              <w:color w:val="auto"/>
              <w:kern w:val="2"/>
              <w:sz w:val="28"/>
              <w:szCs w:val="28"/>
              <w:lang w:val="en-US" w:eastAsia="zh-CN" w:bidi="ar-SA"/>
            </w:rPr>
            <w:t>3</w:t>
          </w:r>
          <w:r>
            <w:rPr>
              <w:rFonts w:hint="eastAsia" w:ascii="黑体" w:hAnsi="黑体" w:eastAsia="黑体" w:cs="黑体"/>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_Toc31031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val="en-US" w:eastAsia="zh-CN"/>
            </w:rPr>
            <w:t>（一）知识产权领域改革全面推进</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_Toc31031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_Toc14448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val="en-US" w:eastAsia="zh-CN"/>
            </w:rPr>
            <w:t>（二）知识产权创造能力大幅跃升</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_Toc31031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_Toc23496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val="en-US" w:eastAsia="zh-CN"/>
            </w:rPr>
            <w:t>（三）知识产权保护力度持续强化</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_Toc23496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_Toc12197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val="en-US" w:eastAsia="zh-CN"/>
            </w:rPr>
            <w:t>（四）</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_Toc6030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val="en-US" w:eastAsia="zh-CN"/>
            </w:rPr>
            <w:t>知识产权运用效益规模不断扩大</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_Toc6030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5</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_Toc7621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val="en-US" w:eastAsia="zh-CN"/>
            </w:rPr>
            <w:t>（五）知识产权服务体系日益完善</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_Toc7621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6</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12"/>
            <w:tabs>
              <w:tab w:val="right" w:leader="dot" w:pos="8306"/>
            </w:tabs>
            <w:rPr>
              <w:rFonts w:hint="eastAsia" w:ascii="黑体" w:hAnsi="黑体" w:eastAsia="黑体" w:cs="黑体"/>
              <w:color w:val="auto"/>
              <w:sz w:val="28"/>
              <w:szCs w:val="28"/>
            </w:rPr>
          </w:pPr>
          <w:r>
            <w:rPr>
              <w:rFonts w:hint="eastAsia" w:ascii="黑体" w:hAnsi="黑体" w:eastAsia="黑体" w:cs="黑体"/>
              <w:color w:val="auto"/>
              <w:sz w:val="28"/>
              <w:szCs w:val="28"/>
            </w:rPr>
            <w:fldChar w:fldCharType="begin"/>
          </w:r>
          <w:r>
            <w:rPr>
              <w:rFonts w:hint="eastAsia" w:ascii="黑体" w:hAnsi="黑体" w:eastAsia="黑体" w:cs="黑体"/>
              <w:color w:val="auto"/>
              <w:sz w:val="28"/>
              <w:szCs w:val="28"/>
            </w:rPr>
            <w:instrText xml:space="preserve"> HYPERLINK \l _Toc22523 </w:instrText>
          </w:r>
          <w:r>
            <w:rPr>
              <w:rFonts w:hint="eastAsia" w:ascii="黑体" w:hAnsi="黑体" w:eastAsia="黑体" w:cs="黑体"/>
              <w:color w:val="auto"/>
              <w:sz w:val="28"/>
              <w:szCs w:val="28"/>
            </w:rPr>
            <w:fldChar w:fldCharType="separate"/>
          </w:r>
          <w:r>
            <w:rPr>
              <w:rFonts w:hint="eastAsia" w:ascii="黑体" w:hAnsi="黑体" w:eastAsia="黑体" w:cs="黑体"/>
              <w:color w:val="auto"/>
              <w:sz w:val="28"/>
              <w:szCs w:val="28"/>
            </w:rPr>
            <w:t>二、面临的机遇与挑战</w:t>
          </w:r>
          <w:r>
            <w:rPr>
              <w:rFonts w:hint="eastAsia" w:ascii="仿宋_GB2312" w:hAnsi="仿宋_GB2312" w:eastAsia="仿宋_GB2312" w:cs="仿宋_GB2312"/>
              <w:color w:val="auto"/>
              <w:kern w:val="2"/>
              <w:sz w:val="28"/>
              <w:szCs w:val="28"/>
              <w:lang w:val="en-US" w:eastAsia="zh-CN" w:bidi="ar-SA"/>
            </w:rPr>
            <w:tab/>
          </w:r>
          <w:r>
            <w:rPr>
              <w:rFonts w:hint="eastAsia" w:ascii="仿宋_GB2312" w:hAnsi="仿宋_GB2312" w:eastAsia="仿宋_GB2312" w:cs="仿宋_GB2312"/>
              <w:color w:val="auto"/>
              <w:kern w:val="2"/>
              <w:sz w:val="28"/>
              <w:szCs w:val="28"/>
              <w:lang w:val="en-US" w:eastAsia="zh-CN" w:bidi="ar-SA"/>
            </w:rPr>
            <w:fldChar w:fldCharType="begin"/>
          </w:r>
          <w:r>
            <w:rPr>
              <w:rFonts w:hint="eastAsia" w:ascii="仿宋_GB2312" w:hAnsi="仿宋_GB2312" w:eastAsia="仿宋_GB2312" w:cs="仿宋_GB2312"/>
              <w:color w:val="auto"/>
              <w:kern w:val="2"/>
              <w:sz w:val="28"/>
              <w:szCs w:val="28"/>
              <w:lang w:val="en-US" w:eastAsia="zh-CN" w:bidi="ar-SA"/>
            </w:rPr>
            <w:instrText xml:space="preserve"> PAGEREF _Toc22523 \h </w:instrText>
          </w:r>
          <w:r>
            <w:rPr>
              <w:rFonts w:hint="eastAsia" w:ascii="仿宋_GB2312" w:hAnsi="仿宋_GB2312" w:eastAsia="仿宋_GB2312" w:cs="仿宋_GB2312"/>
              <w:color w:val="auto"/>
              <w:kern w:val="2"/>
              <w:sz w:val="28"/>
              <w:szCs w:val="28"/>
              <w:lang w:val="en-US" w:eastAsia="zh-CN" w:bidi="ar-SA"/>
            </w:rPr>
            <w:fldChar w:fldCharType="separate"/>
          </w:r>
          <w:r>
            <w:rPr>
              <w:rFonts w:hint="eastAsia" w:ascii="仿宋_GB2312" w:hAnsi="仿宋_GB2312" w:eastAsia="仿宋_GB2312" w:cs="仿宋_GB2312"/>
              <w:color w:val="auto"/>
              <w:kern w:val="2"/>
              <w:sz w:val="28"/>
              <w:szCs w:val="28"/>
              <w:lang w:val="en-US" w:eastAsia="zh-CN" w:bidi="ar-SA"/>
            </w:rPr>
            <w:t>6</w:t>
          </w:r>
          <w:r>
            <w:rPr>
              <w:rFonts w:hint="eastAsia" w:ascii="仿宋_GB2312" w:hAnsi="仿宋_GB2312" w:eastAsia="仿宋_GB2312" w:cs="仿宋_GB2312"/>
              <w:color w:val="auto"/>
              <w:kern w:val="2"/>
              <w:sz w:val="28"/>
              <w:szCs w:val="28"/>
              <w:lang w:val="en-US" w:eastAsia="zh-CN" w:bidi="ar-SA"/>
            </w:rPr>
            <w:fldChar w:fldCharType="end"/>
          </w:r>
          <w:r>
            <w:rPr>
              <w:rFonts w:hint="eastAsia" w:ascii="黑体" w:hAnsi="黑体" w:eastAsia="黑体" w:cs="黑体"/>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_Toc28345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面临的机遇</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_Toc28345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6</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_Toc5771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二</w:t>
          </w:r>
          <w:r>
            <w:rPr>
              <w:rFonts w:hint="eastAsia" w:ascii="仿宋_GB2312" w:hAnsi="仿宋_GB2312" w:eastAsia="仿宋_GB2312" w:cs="仿宋_GB2312"/>
              <w:color w:val="auto"/>
              <w:sz w:val="28"/>
              <w:szCs w:val="28"/>
            </w:rPr>
            <w:t>）面临的</w:t>
          </w:r>
          <w:r>
            <w:rPr>
              <w:rFonts w:hint="eastAsia" w:ascii="仿宋_GB2312" w:hAnsi="仿宋_GB2312" w:eastAsia="仿宋_GB2312" w:cs="仿宋_GB2312"/>
              <w:color w:val="auto"/>
              <w:sz w:val="28"/>
              <w:szCs w:val="28"/>
              <w:lang w:eastAsia="zh-CN"/>
            </w:rPr>
            <w:t>挑战</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_Toc5771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7</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12"/>
            <w:tabs>
              <w:tab w:val="right" w:leader="dot" w:pos="830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_Toc26209 </w:instrText>
          </w:r>
          <w:r>
            <w:rPr>
              <w:rFonts w:hint="eastAsia" w:ascii="仿宋_GB2312" w:hAnsi="仿宋_GB2312" w:eastAsia="仿宋_GB2312" w:cs="仿宋_GB2312"/>
              <w:color w:val="auto"/>
              <w:sz w:val="28"/>
              <w:szCs w:val="28"/>
            </w:rPr>
            <w:fldChar w:fldCharType="separate"/>
          </w:r>
          <w:r>
            <w:rPr>
              <w:rFonts w:hint="eastAsia" w:ascii="黑体" w:hAnsi="黑体" w:eastAsia="黑体" w:cs="黑体"/>
              <w:color w:val="auto"/>
              <w:sz w:val="28"/>
              <w:szCs w:val="28"/>
              <w:lang w:val="en-US" w:eastAsia="zh-CN"/>
            </w:rPr>
            <w:t>三</w:t>
          </w:r>
          <w:r>
            <w:rPr>
              <w:rFonts w:hint="eastAsia" w:ascii="黑体" w:hAnsi="黑体" w:eastAsia="黑体" w:cs="黑体"/>
              <w:color w:val="auto"/>
              <w:sz w:val="28"/>
              <w:szCs w:val="28"/>
            </w:rPr>
            <w:t>、总体要求</w:t>
          </w:r>
          <w:r>
            <w:rPr>
              <w:rFonts w:hint="eastAsia" w:ascii="黑体" w:hAnsi="黑体" w:eastAsia="黑体" w:cs="黑体"/>
              <w:color w:val="auto"/>
              <w:sz w:val="28"/>
              <w:szCs w:val="28"/>
              <w:lang w:val="en-US" w:eastAsia="zh-CN"/>
            </w:rPr>
            <w:t>与发展目标</w:t>
          </w:r>
          <w:r>
            <w:rPr>
              <w:rFonts w:hint="eastAsia" w:ascii="仿宋_GB2312" w:hAnsi="仿宋_GB2312" w:eastAsia="仿宋_GB2312" w:cs="仿宋_GB2312"/>
              <w:color w:val="auto"/>
              <w:kern w:val="2"/>
              <w:sz w:val="28"/>
              <w:szCs w:val="28"/>
              <w:lang w:val="en-US" w:eastAsia="zh-CN" w:bidi="ar-SA"/>
            </w:rPr>
            <w:tab/>
          </w:r>
          <w:r>
            <w:rPr>
              <w:rFonts w:hint="eastAsia" w:ascii="仿宋_GB2312" w:hAnsi="仿宋_GB2312" w:eastAsia="仿宋_GB2312" w:cs="仿宋_GB2312"/>
              <w:color w:val="auto"/>
              <w:kern w:val="2"/>
              <w:sz w:val="28"/>
              <w:szCs w:val="28"/>
              <w:lang w:val="en-US" w:eastAsia="zh-CN" w:bidi="ar-SA"/>
            </w:rPr>
            <w:fldChar w:fldCharType="begin"/>
          </w:r>
          <w:r>
            <w:rPr>
              <w:rFonts w:hint="eastAsia" w:ascii="仿宋_GB2312" w:hAnsi="仿宋_GB2312" w:eastAsia="仿宋_GB2312" w:cs="仿宋_GB2312"/>
              <w:color w:val="auto"/>
              <w:kern w:val="2"/>
              <w:sz w:val="28"/>
              <w:szCs w:val="28"/>
              <w:lang w:val="en-US" w:eastAsia="zh-CN" w:bidi="ar-SA"/>
            </w:rPr>
            <w:instrText xml:space="preserve"> PAGEREF _Toc26209 \h </w:instrText>
          </w:r>
          <w:r>
            <w:rPr>
              <w:rFonts w:hint="eastAsia" w:ascii="仿宋_GB2312" w:hAnsi="仿宋_GB2312" w:eastAsia="仿宋_GB2312" w:cs="仿宋_GB2312"/>
              <w:color w:val="auto"/>
              <w:kern w:val="2"/>
              <w:sz w:val="28"/>
              <w:szCs w:val="28"/>
              <w:lang w:val="en-US" w:eastAsia="zh-CN" w:bidi="ar-SA"/>
            </w:rPr>
            <w:fldChar w:fldCharType="separate"/>
          </w:r>
          <w:r>
            <w:rPr>
              <w:rFonts w:hint="eastAsia" w:ascii="仿宋_GB2312" w:hAnsi="仿宋_GB2312" w:eastAsia="仿宋_GB2312" w:cs="仿宋_GB2312"/>
              <w:color w:val="auto"/>
              <w:kern w:val="2"/>
              <w:sz w:val="28"/>
              <w:szCs w:val="28"/>
              <w:lang w:val="en-US" w:eastAsia="zh-CN" w:bidi="ar-SA"/>
            </w:rPr>
            <w:t>8</w:t>
          </w:r>
          <w:r>
            <w:rPr>
              <w:rFonts w:hint="eastAsia" w:ascii="仿宋_GB2312" w:hAnsi="仿宋_GB2312" w:eastAsia="仿宋_GB2312" w:cs="仿宋_GB2312"/>
              <w:color w:val="auto"/>
              <w:kern w:val="2"/>
              <w:sz w:val="28"/>
              <w:szCs w:val="28"/>
              <w:lang w:val="en-US" w:eastAsia="zh-CN" w:bidi="ar-SA"/>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_Toc16046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lang w:val="en-US" w:eastAsia="zh-CN"/>
            </w:rPr>
            <w:t>一</w:t>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rPr>
            <w:t>指导思想</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_Toc16046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8</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_Toc17743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lang w:val="en-US" w:eastAsia="zh-CN"/>
            </w:rPr>
            <w:t>二</w:t>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rPr>
            <w:t>基本原则</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_Toc17743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9</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_Toc3585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lang w:val="en-US" w:eastAsia="zh-CN"/>
            </w:rPr>
            <w:t>三</w:t>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rPr>
            <w:t>主要目标</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_Toc3585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10</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12"/>
            <w:tabs>
              <w:tab w:val="right" w:leader="dot" w:pos="8306"/>
            </w:tabs>
            <w:rPr>
              <w:rFonts w:hint="eastAsia" w:ascii="黑体" w:hAnsi="黑体" w:eastAsia="黑体" w:cs="黑体"/>
              <w:color w:val="auto"/>
              <w:sz w:val="28"/>
              <w:szCs w:val="28"/>
            </w:rPr>
          </w:pPr>
          <w:r>
            <w:rPr>
              <w:rFonts w:hint="eastAsia" w:ascii="黑体" w:hAnsi="黑体" w:eastAsia="黑体" w:cs="黑体"/>
              <w:color w:val="auto"/>
              <w:sz w:val="28"/>
              <w:szCs w:val="28"/>
            </w:rPr>
            <w:fldChar w:fldCharType="begin"/>
          </w:r>
          <w:r>
            <w:rPr>
              <w:rFonts w:hint="eastAsia" w:ascii="黑体" w:hAnsi="黑体" w:eastAsia="黑体" w:cs="黑体"/>
              <w:color w:val="auto"/>
              <w:sz w:val="28"/>
              <w:szCs w:val="28"/>
            </w:rPr>
            <w:instrText xml:space="preserve"> HYPERLINK \l _Toc4610 </w:instrText>
          </w:r>
          <w:r>
            <w:rPr>
              <w:rFonts w:hint="eastAsia" w:ascii="黑体" w:hAnsi="黑体" w:eastAsia="黑体" w:cs="黑体"/>
              <w:color w:val="auto"/>
              <w:sz w:val="28"/>
              <w:szCs w:val="28"/>
            </w:rPr>
            <w:fldChar w:fldCharType="separate"/>
          </w:r>
          <w:r>
            <w:rPr>
              <w:rFonts w:hint="eastAsia" w:ascii="黑体" w:hAnsi="黑体" w:eastAsia="黑体" w:cs="黑体"/>
              <w:color w:val="auto"/>
              <w:sz w:val="28"/>
              <w:szCs w:val="28"/>
              <w:lang w:eastAsia="zh-CN"/>
            </w:rPr>
            <w:t>四</w:t>
          </w:r>
          <w:r>
            <w:rPr>
              <w:rFonts w:hint="eastAsia" w:ascii="黑体" w:hAnsi="黑体" w:eastAsia="黑体" w:cs="黑体"/>
              <w:color w:val="auto"/>
              <w:sz w:val="28"/>
              <w:szCs w:val="28"/>
            </w:rPr>
            <w:t>、主要任务</w:t>
          </w:r>
          <w:r>
            <w:rPr>
              <w:rFonts w:hint="eastAsia" w:ascii="仿宋_GB2312" w:hAnsi="仿宋_GB2312" w:eastAsia="仿宋_GB2312" w:cs="仿宋_GB2312"/>
              <w:color w:val="auto"/>
              <w:kern w:val="2"/>
              <w:sz w:val="28"/>
              <w:szCs w:val="28"/>
              <w:lang w:val="en-US" w:eastAsia="zh-CN" w:bidi="ar-SA"/>
            </w:rPr>
            <w:tab/>
          </w:r>
          <w:r>
            <w:rPr>
              <w:rFonts w:hint="eastAsia" w:ascii="仿宋_GB2312" w:hAnsi="仿宋_GB2312" w:eastAsia="仿宋_GB2312" w:cs="仿宋_GB2312"/>
              <w:color w:val="auto"/>
              <w:kern w:val="2"/>
              <w:sz w:val="28"/>
              <w:szCs w:val="28"/>
              <w:lang w:val="en-US" w:eastAsia="zh-CN" w:bidi="ar-SA"/>
            </w:rPr>
            <w:fldChar w:fldCharType="begin"/>
          </w:r>
          <w:r>
            <w:rPr>
              <w:rFonts w:hint="eastAsia" w:ascii="仿宋_GB2312" w:hAnsi="仿宋_GB2312" w:eastAsia="仿宋_GB2312" w:cs="仿宋_GB2312"/>
              <w:color w:val="auto"/>
              <w:kern w:val="2"/>
              <w:sz w:val="28"/>
              <w:szCs w:val="28"/>
              <w:lang w:val="en-US" w:eastAsia="zh-CN" w:bidi="ar-SA"/>
            </w:rPr>
            <w:instrText xml:space="preserve"> PAGEREF _Toc4610 \h </w:instrText>
          </w:r>
          <w:r>
            <w:rPr>
              <w:rFonts w:hint="eastAsia" w:ascii="仿宋_GB2312" w:hAnsi="仿宋_GB2312" w:eastAsia="仿宋_GB2312" w:cs="仿宋_GB2312"/>
              <w:color w:val="auto"/>
              <w:kern w:val="2"/>
              <w:sz w:val="28"/>
              <w:szCs w:val="28"/>
              <w:lang w:val="en-US" w:eastAsia="zh-CN" w:bidi="ar-SA"/>
            </w:rPr>
            <w:fldChar w:fldCharType="separate"/>
          </w:r>
          <w:r>
            <w:rPr>
              <w:rFonts w:hint="eastAsia" w:ascii="仿宋_GB2312" w:hAnsi="仿宋_GB2312" w:eastAsia="仿宋_GB2312" w:cs="仿宋_GB2312"/>
              <w:color w:val="auto"/>
              <w:kern w:val="2"/>
              <w:sz w:val="28"/>
              <w:szCs w:val="28"/>
              <w:lang w:val="en-US" w:eastAsia="zh-CN" w:bidi="ar-SA"/>
            </w:rPr>
            <w:t>12</w:t>
          </w:r>
          <w:r>
            <w:rPr>
              <w:rFonts w:hint="eastAsia" w:ascii="仿宋_GB2312" w:hAnsi="仿宋_GB2312" w:eastAsia="仿宋_GB2312" w:cs="仿宋_GB2312"/>
              <w:color w:val="auto"/>
              <w:kern w:val="2"/>
              <w:sz w:val="28"/>
              <w:szCs w:val="28"/>
              <w:lang w:val="en-US" w:eastAsia="zh-CN" w:bidi="ar-SA"/>
            </w:rPr>
            <w:fldChar w:fldCharType="end"/>
          </w:r>
          <w:r>
            <w:rPr>
              <w:rFonts w:hint="eastAsia" w:ascii="黑体" w:hAnsi="黑体" w:eastAsia="黑体" w:cs="黑体"/>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_Toc28948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高标准强化</w:t>
          </w:r>
          <w:r>
            <w:rPr>
              <w:rFonts w:hint="eastAsia" w:ascii="仿宋_GB2312" w:hAnsi="仿宋_GB2312" w:eastAsia="仿宋_GB2312" w:cs="仿宋_GB2312"/>
              <w:color w:val="auto"/>
              <w:sz w:val="28"/>
              <w:szCs w:val="28"/>
            </w:rPr>
            <w:t>知识产权保护</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优化营商环境</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_Toc28948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12</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_Toc13817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高质量推进</w:t>
          </w:r>
          <w:r>
            <w:rPr>
              <w:rFonts w:hint="eastAsia" w:ascii="仿宋_GB2312" w:hAnsi="仿宋_GB2312" w:eastAsia="仿宋_GB2312" w:cs="仿宋_GB2312"/>
              <w:color w:val="auto"/>
              <w:sz w:val="28"/>
              <w:szCs w:val="28"/>
            </w:rPr>
            <w:t>知识产权创造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提升</w:t>
          </w:r>
          <w:r>
            <w:rPr>
              <w:rFonts w:hint="eastAsia" w:ascii="仿宋_GB2312" w:hAnsi="仿宋_GB2312" w:eastAsia="仿宋_GB2312" w:cs="仿宋_GB2312"/>
              <w:color w:val="auto"/>
              <w:sz w:val="28"/>
              <w:szCs w:val="28"/>
              <w:lang w:val="en-US" w:eastAsia="zh-CN"/>
            </w:rPr>
            <w:t>产业</w:t>
          </w:r>
          <w:r>
            <w:rPr>
              <w:rFonts w:hint="eastAsia" w:ascii="仿宋_GB2312" w:hAnsi="仿宋_GB2312" w:eastAsia="仿宋_GB2312" w:cs="仿宋_GB2312"/>
              <w:color w:val="auto"/>
              <w:sz w:val="28"/>
              <w:szCs w:val="28"/>
            </w:rPr>
            <w:t>核心竞争力</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_Toc13817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15</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_Toc4401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rPr>
            <w:t>(</w:t>
          </w:r>
          <w:r>
            <w:rPr>
              <w:rFonts w:hint="eastAsia" w:ascii="仿宋_GB2312" w:hAnsi="仿宋_GB2312" w:eastAsia="仿宋_GB2312" w:cs="仿宋_GB2312"/>
              <w:bCs w:val="0"/>
              <w:color w:val="auto"/>
              <w:sz w:val="28"/>
              <w:szCs w:val="28"/>
              <w:lang w:val="en-US" w:eastAsia="zh-CN"/>
            </w:rPr>
            <w:t>三</w:t>
          </w:r>
          <w:r>
            <w:rPr>
              <w:rFonts w:hint="eastAsia" w:ascii="仿宋_GB2312" w:hAnsi="仿宋_GB2312" w:eastAsia="仿宋_GB2312" w:cs="仿宋_GB2312"/>
              <w:bCs w:val="0"/>
              <w:color w:val="auto"/>
              <w:sz w:val="28"/>
              <w:szCs w:val="28"/>
            </w:rPr>
            <w:t>)</w:t>
          </w:r>
          <w:r>
            <w:rPr>
              <w:rFonts w:hint="eastAsia" w:ascii="仿宋_GB2312" w:hAnsi="仿宋_GB2312" w:eastAsia="仿宋_GB2312" w:cs="仿宋_GB2312"/>
              <w:bCs w:val="0"/>
              <w:color w:val="auto"/>
              <w:sz w:val="28"/>
              <w:szCs w:val="28"/>
              <w:lang w:val="en-US" w:eastAsia="zh-CN"/>
            </w:rPr>
            <w:t>高效益促进</w:t>
          </w:r>
          <w:r>
            <w:rPr>
              <w:rFonts w:hint="eastAsia" w:ascii="仿宋_GB2312" w:hAnsi="仿宋_GB2312" w:eastAsia="仿宋_GB2312" w:cs="仿宋_GB2312"/>
              <w:bCs w:val="0"/>
              <w:color w:val="auto"/>
              <w:sz w:val="28"/>
              <w:szCs w:val="28"/>
            </w:rPr>
            <w:t>知识产权运用</w:t>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lang w:val="en-US" w:eastAsia="zh-CN"/>
            </w:rPr>
            <w:t>构建</w:t>
          </w:r>
          <w:r>
            <w:rPr>
              <w:rFonts w:hint="eastAsia" w:ascii="仿宋_GB2312" w:hAnsi="仿宋_GB2312" w:eastAsia="仿宋_GB2312" w:cs="仿宋_GB2312"/>
              <w:bCs w:val="0"/>
              <w:color w:val="auto"/>
              <w:sz w:val="28"/>
              <w:szCs w:val="28"/>
            </w:rPr>
            <w:t>创新生态体系</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_Toc4401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18</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_Toc10037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rPr>
            <w:t>(</w:t>
          </w:r>
          <w:r>
            <w:rPr>
              <w:rFonts w:hint="eastAsia" w:ascii="仿宋_GB2312" w:hAnsi="仿宋_GB2312" w:eastAsia="仿宋_GB2312" w:cs="仿宋_GB2312"/>
              <w:bCs w:val="0"/>
              <w:color w:val="auto"/>
              <w:sz w:val="28"/>
              <w:szCs w:val="28"/>
              <w:lang w:val="en-US" w:eastAsia="zh-CN"/>
            </w:rPr>
            <w:t>四</w:t>
          </w:r>
          <w:r>
            <w:rPr>
              <w:rFonts w:hint="eastAsia" w:ascii="仿宋_GB2312" w:hAnsi="仿宋_GB2312" w:eastAsia="仿宋_GB2312" w:cs="仿宋_GB2312"/>
              <w:bCs w:val="0"/>
              <w:color w:val="auto"/>
              <w:sz w:val="28"/>
              <w:szCs w:val="28"/>
            </w:rPr>
            <w:t>)</w:t>
          </w:r>
          <w:r>
            <w:rPr>
              <w:rFonts w:hint="eastAsia" w:ascii="仿宋_GB2312" w:hAnsi="仿宋_GB2312" w:eastAsia="仿宋_GB2312" w:cs="仿宋_GB2312"/>
              <w:bCs w:val="0"/>
              <w:color w:val="auto"/>
              <w:sz w:val="28"/>
              <w:szCs w:val="28"/>
              <w:lang w:val="en-US" w:eastAsia="zh-CN"/>
            </w:rPr>
            <w:t>高水平加强</w:t>
          </w:r>
          <w:r>
            <w:rPr>
              <w:rFonts w:hint="eastAsia" w:ascii="仿宋_GB2312" w:hAnsi="仿宋_GB2312" w:eastAsia="仿宋_GB2312" w:cs="仿宋_GB2312"/>
              <w:bCs w:val="0"/>
              <w:color w:val="auto"/>
              <w:sz w:val="28"/>
              <w:szCs w:val="28"/>
            </w:rPr>
            <w:t>知识产权服务</w:t>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lang w:val="en-US" w:eastAsia="zh-CN"/>
            </w:rPr>
            <w:t>打造</w:t>
          </w:r>
          <w:r>
            <w:rPr>
              <w:rFonts w:hint="eastAsia" w:ascii="仿宋_GB2312" w:hAnsi="仿宋_GB2312" w:eastAsia="仿宋_GB2312" w:cs="仿宋_GB2312"/>
              <w:bCs w:val="0"/>
              <w:color w:val="auto"/>
              <w:sz w:val="28"/>
              <w:szCs w:val="28"/>
            </w:rPr>
            <w:t>服务业集聚</w:t>
          </w:r>
          <w:r>
            <w:rPr>
              <w:rFonts w:hint="eastAsia" w:ascii="仿宋_GB2312" w:hAnsi="仿宋_GB2312" w:eastAsia="仿宋_GB2312" w:cs="仿宋_GB2312"/>
              <w:bCs w:val="0"/>
              <w:color w:val="auto"/>
              <w:sz w:val="28"/>
              <w:szCs w:val="28"/>
              <w:lang w:val="en-US" w:eastAsia="zh-CN"/>
            </w:rPr>
            <w:t>区</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lang w:val="en-US" w:eastAsia="zh-CN"/>
            </w:rPr>
            <w:t>9</w:t>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_Toc21664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Cs w:val="0"/>
              <w:color w:val="auto"/>
              <w:sz w:val="28"/>
              <w:szCs w:val="28"/>
            </w:rPr>
            <w:t>(</w:t>
          </w:r>
          <w:r>
            <w:rPr>
              <w:rFonts w:hint="eastAsia" w:ascii="仿宋_GB2312" w:hAnsi="仿宋_GB2312" w:eastAsia="仿宋_GB2312" w:cs="仿宋_GB2312"/>
              <w:bCs w:val="0"/>
              <w:color w:val="auto"/>
              <w:sz w:val="28"/>
              <w:szCs w:val="28"/>
              <w:lang w:val="en-US" w:eastAsia="zh-CN"/>
            </w:rPr>
            <w:t>五</w:t>
          </w:r>
          <w:r>
            <w:rPr>
              <w:rFonts w:hint="eastAsia" w:ascii="仿宋_GB2312" w:hAnsi="仿宋_GB2312" w:eastAsia="仿宋_GB2312" w:cs="仿宋_GB2312"/>
              <w:bCs w:val="0"/>
              <w:color w:val="auto"/>
              <w:sz w:val="28"/>
              <w:szCs w:val="28"/>
            </w:rPr>
            <w:t>)</w:t>
          </w:r>
          <w:r>
            <w:rPr>
              <w:rFonts w:hint="eastAsia" w:ascii="仿宋_GB2312" w:hAnsi="仿宋_GB2312" w:eastAsia="仿宋_GB2312" w:cs="仿宋_GB2312"/>
              <w:bCs w:val="0"/>
              <w:color w:val="auto"/>
              <w:sz w:val="28"/>
              <w:szCs w:val="28"/>
              <w:lang w:val="en-US" w:eastAsia="zh-CN"/>
            </w:rPr>
            <w:t>高保障</w:t>
          </w:r>
          <w:r>
            <w:rPr>
              <w:rFonts w:hint="eastAsia" w:ascii="仿宋_GB2312" w:hAnsi="仿宋_GB2312" w:eastAsia="仿宋_GB2312" w:cs="仿宋_GB2312"/>
              <w:bCs w:val="0"/>
              <w:color w:val="auto"/>
              <w:sz w:val="28"/>
              <w:szCs w:val="28"/>
              <w:lang w:eastAsia="zh-CN"/>
            </w:rPr>
            <w:t>完善</w:t>
          </w:r>
          <w:r>
            <w:rPr>
              <w:rFonts w:hint="eastAsia" w:ascii="仿宋_GB2312" w:hAnsi="仿宋_GB2312" w:eastAsia="仿宋_GB2312" w:cs="仿宋_GB2312"/>
              <w:bCs w:val="0"/>
              <w:color w:val="auto"/>
              <w:sz w:val="28"/>
              <w:szCs w:val="28"/>
            </w:rPr>
            <w:t>知识产权文化和人才建设</w:t>
          </w:r>
          <w:r>
            <w:rPr>
              <w:rFonts w:hint="eastAsia" w:ascii="仿宋_GB2312" w:hAnsi="仿宋_GB2312" w:eastAsia="仿宋_GB2312" w:cs="仿宋_GB2312"/>
              <w:bCs w:val="0"/>
              <w:color w:val="auto"/>
              <w:sz w:val="28"/>
              <w:szCs w:val="28"/>
              <w:lang w:eastAsia="zh-CN"/>
            </w:rPr>
            <w:t>，</w:t>
          </w:r>
          <w:r>
            <w:rPr>
              <w:rFonts w:hint="eastAsia" w:ascii="仿宋_GB2312" w:hAnsi="仿宋_GB2312" w:eastAsia="仿宋_GB2312" w:cs="仿宋_GB2312"/>
              <w:bCs w:val="0"/>
              <w:color w:val="auto"/>
              <w:sz w:val="28"/>
              <w:szCs w:val="28"/>
              <w:lang w:val="en-US" w:eastAsia="zh-CN"/>
            </w:rPr>
            <w:t>夯实发展基础</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_Toc21664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22</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12"/>
            <w:tabs>
              <w:tab w:val="right" w:leader="dot" w:pos="8306"/>
            </w:tabs>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rPr>
            <w:fldChar w:fldCharType="begin"/>
          </w:r>
          <w:r>
            <w:rPr>
              <w:rFonts w:hint="eastAsia" w:ascii="黑体" w:hAnsi="黑体" w:eastAsia="黑体" w:cs="黑体"/>
              <w:color w:val="auto"/>
              <w:sz w:val="28"/>
              <w:szCs w:val="28"/>
            </w:rPr>
            <w:instrText xml:space="preserve"> HYPERLINK \l _Toc14898 </w:instrText>
          </w:r>
          <w:r>
            <w:rPr>
              <w:rFonts w:hint="eastAsia" w:ascii="黑体" w:hAnsi="黑体" w:eastAsia="黑体" w:cs="黑体"/>
              <w:color w:val="auto"/>
              <w:sz w:val="28"/>
              <w:szCs w:val="28"/>
            </w:rPr>
            <w:fldChar w:fldCharType="separate"/>
          </w:r>
          <w:r>
            <w:rPr>
              <w:rFonts w:hint="eastAsia" w:ascii="黑体" w:hAnsi="黑体" w:eastAsia="黑体" w:cs="黑体"/>
              <w:color w:val="auto"/>
              <w:sz w:val="28"/>
              <w:szCs w:val="28"/>
              <w:lang w:val="en-US" w:eastAsia="zh-CN"/>
            </w:rPr>
            <w:t>五、</w:t>
          </w:r>
          <w:r>
            <w:rPr>
              <w:rFonts w:hint="eastAsia" w:ascii="黑体" w:hAnsi="黑体" w:eastAsia="黑体" w:cs="黑体"/>
              <w:color w:val="auto"/>
              <w:sz w:val="28"/>
              <w:szCs w:val="28"/>
            </w:rPr>
            <w:t>保障措施</w:t>
          </w:r>
          <w:r>
            <w:rPr>
              <w:rFonts w:hint="eastAsia" w:ascii="仿宋_GB2312" w:hAnsi="仿宋_GB2312" w:eastAsia="仿宋_GB2312" w:cs="仿宋_GB2312"/>
              <w:color w:val="auto"/>
              <w:kern w:val="2"/>
              <w:sz w:val="28"/>
              <w:szCs w:val="28"/>
              <w:lang w:val="en-US" w:eastAsia="zh-CN" w:bidi="ar-SA"/>
            </w:rPr>
            <w:tab/>
          </w:r>
          <w:r>
            <w:rPr>
              <w:rFonts w:hint="eastAsia" w:ascii="仿宋_GB2312" w:hAnsi="仿宋_GB2312" w:eastAsia="仿宋_GB2312" w:cs="仿宋_GB2312"/>
              <w:color w:val="auto"/>
              <w:kern w:val="2"/>
              <w:sz w:val="28"/>
              <w:szCs w:val="28"/>
              <w:lang w:val="en-US" w:eastAsia="zh-CN" w:bidi="ar-SA"/>
            </w:rPr>
            <w:t>2</w:t>
          </w:r>
          <w:r>
            <w:rPr>
              <w:rFonts w:hint="eastAsia" w:ascii="黑体" w:hAnsi="黑体" w:eastAsia="黑体" w:cs="黑体"/>
              <w:color w:val="auto"/>
              <w:sz w:val="28"/>
              <w:szCs w:val="28"/>
            </w:rPr>
            <w:fldChar w:fldCharType="end"/>
          </w:r>
          <w:r>
            <w:rPr>
              <w:rFonts w:hint="eastAsia" w:ascii="仿宋_GB2312" w:hAnsi="仿宋_GB2312" w:eastAsia="仿宋_GB2312" w:cs="仿宋_GB2312"/>
              <w:color w:val="auto"/>
              <w:kern w:val="2"/>
              <w:sz w:val="28"/>
              <w:szCs w:val="28"/>
              <w:lang w:val="en-US" w:eastAsia="zh-CN" w:bidi="ar-SA"/>
            </w:rPr>
            <w:t>3</w:t>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_Toc2693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（一）加强组织领导</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_Toc2693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23</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_Toc17308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（二）落实资源保障</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_Toc17308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24</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_Toc1686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（三）持续监督考察</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_Toc1686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24</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pStyle w:val="2"/>
            <w:tabs>
              <w:tab w:val="right" w:leader="dot" w:pos="8306"/>
              <w:tab w:val="clear" w:pos="8296"/>
            </w:tabs>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_Toc28058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加强监测评估</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PAGEREF _Toc28058 \h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24</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fldChar w:fldCharType="end"/>
          </w:r>
        </w:p>
        <w:p>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28"/>
              <w:szCs w:val="28"/>
            </w:rPr>
            <w:fldChar w:fldCharType="end"/>
          </w:r>
        </w:p>
      </w:sdtContent>
    </w:sdt>
    <w:p>
      <w:pPr>
        <w:pStyle w:val="9"/>
        <w:rPr>
          <w:rFonts w:hint="eastAsia" w:ascii="仿宋_GB2312" w:hAnsi="仿宋_GB2312" w:eastAsia="仿宋_GB2312" w:cs="仿宋_GB2312"/>
          <w:color w:val="auto"/>
          <w:sz w:val="32"/>
          <w:szCs w:val="32"/>
        </w:rPr>
      </w:pPr>
    </w:p>
    <w:p>
      <w:pPr>
        <w:pStyle w:val="9"/>
        <w:rPr>
          <w:rFonts w:hint="eastAsia" w:ascii="仿宋_GB2312" w:hAnsi="仿宋_GB2312" w:eastAsia="仿宋_GB2312" w:cs="仿宋_GB2312"/>
          <w:color w:val="auto"/>
          <w:sz w:val="32"/>
          <w:szCs w:val="32"/>
        </w:rPr>
      </w:pPr>
    </w:p>
    <w:p>
      <w:pPr>
        <w:pStyle w:val="9"/>
        <w:rPr>
          <w:rFonts w:hint="eastAsia" w:ascii="仿宋_GB2312" w:hAnsi="仿宋_GB2312" w:eastAsia="仿宋_GB2312" w:cs="仿宋_GB2312"/>
          <w:color w:val="auto"/>
          <w:sz w:val="32"/>
          <w:szCs w:val="32"/>
        </w:rPr>
      </w:pPr>
    </w:p>
    <w:p>
      <w:pPr>
        <w:bidi w:val="0"/>
        <w:ind w:firstLine="640" w:firstLineChars="200"/>
        <w:rPr>
          <w:rFonts w:hint="eastAsia" w:ascii="仿宋_GB2312" w:hAnsi="仿宋_GB2312" w:eastAsia="仿宋_GB2312" w:cs="仿宋_GB2312"/>
          <w:color w:val="auto"/>
          <w:sz w:val="32"/>
          <w:szCs w:val="32"/>
        </w:rPr>
      </w:pPr>
    </w:p>
    <w:p>
      <w:pPr>
        <w:bidi w:val="0"/>
        <w:ind w:firstLine="640" w:firstLineChars="200"/>
        <w:rPr>
          <w:rFonts w:hint="eastAsia" w:ascii="仿宋_GB2312" w:hAnsi="仿宋_GB2312" w:eastAsia="仿宋_GB2312" w:cs="仿宋_GB2312"/>
          <w:color w:val="auto"/>
          <w:sz w:val="32"/>
          <w:szCs w:val="32"/>
        </w:rPr>
      </w:pPr>
    </w:p>
    <w:p>
      <w:pPr>
        <w:bidi w:val="0"/>
        <w:ind w:firstLine="640" w:firstLineChars="200"/>
        <w:rPr>
          <w:rFonts w:hint="eastAsia" w:ascii="仿宋_GB2312" w:hAnsi="仿宋_GB2312" w:eastAsia="仿宋_GB2312" w:cs="仿宋_GB2312"/>
          <w:color w:val="auto"/>
          <w:sz w:val="32"/>
          <w:szCs w:val="32"/>
        </w:rPr>
      </w:pPr>
    </w:p>
    <w:p>
      <w:pPr>
        <w:bidi w:val="0"/>
        <w:ind w:firstLine="640" w:firstLineChars="200"/>
        <w:rPr>
          <w:rFonts w:hint="eastAsia" w:ascii="仿宋_GB2312" w:hAnsi="仿宋_GB2312" w:eastAsia="仿宋_GB2312" w:cs="仿宋_GB2312"/>
          <w:color w:val="auto"/>
          <w:sz w:val="32"/>
          <w:szCs w:val="32"/>
        </w:rPr>
      </w:pPr>
    </w:p>
    <w:p>
      <w:pPr>
        <w:bidi w:val="0"/>
        <w:ind w:firstLine="640" w:firstLineChars="200"/>
        <w:rPr>
          <w:rFonts w:hint="eastAsia" w:ascii="仿宋_GB2312" w:hAnsi="仿宋_GB2312" w:eastAsia="仿宋_GB2312" w:cs="仿宋_GB2312"/>
          <w:color w:val="auto"/>
          <w:sz w:val="32"/>
          <w:szCs w:val="32"/>
        </w:rPr>
      </w:pPr>
    </w:p>
    <w:p>
      <w:pPr>
        <w:bidi w:val="0"/>
        <w:ind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为贯彻落实《知识产权强国建设纲要（2021-2035年）》</w:t>
      </w:r>
      <w:r>
        <w:rPr>
          <w:rFonts w:hint="eastAsia" w:ascii="仿宋_GB2312" w:hAnsi="仿宋_GB2312" w:eastAsia="仿宋_GB2312" w:cs="仿宋_GB2312"/>
          <w:color w:val="auto"/>
          <w:kern w:val="0"/>
          <w:sz w:val="32"/>
          <w:szCs w:val="32"/>
          <w:lang w:val="en-US" w:eastAsia="zh-CN" w:bidi="ar"/>
        </w:rPr>
        <w:t>《“十四五”国家知识产权保护和运用规划》</w:t>
      </w:r>
      <w:r>
        <w:rPr>
          <w:rFonts w:hint="eastAsia" w:ascii="仿宋_GB2312" w:hAnsi="仿宋_GB2312" w:eastAsia="仿宋_GB2312" w:cs="仿宋_GB2312"/>
          <w:color w:val="auto"/>
          <w:sz w:val="32"/>
          <w:szCs w:val="32"/>
        </w:rPr>
        <w:t>《山东省“十四五”知识产权保护和运用规划》《烟台市国民经济和社会发展第十四个五年规划和二〇三五年远景目标的建议》</w:t>
      </w:r>
      <w:r>
        <w:rPr>
          <w:rFonts w:hint="eastAsia" w:ascii="仿宋_GB2312" w:hAnsi="仿宋_GB2312" w:eastAsia="仿宋_GB2312" w:cs="仿宋_GB2312"/>
          <w:color w:val="auto"/>
          <w:sz w:val="32"/>
          <w:szCs w:val="32"/>
          <w:lang w:val="en-US" w:eastAsia="zh-CN"/>
        </w:rPr>
        <w:t>等文件精神</w:t>
      </w:r>
      <w:r>
        <w:rPr>
          <w:rFonts w:hint="eastAsia" w:ascii="仿宋_GB2312" w:hAnsi="仿宋_GB2312" w:eastAsia="仿宋_GB2312" w:cs="仿宋_GB2312"/>
          <w:color w:val="auto"/>
          <w:sz w:val="32"/>
          <w:szCs w:val="32"/>
        </w:rPr>
        <w:t>，深入实施国家知识产权强国战略，以</w:t>
      </w:r>
      <w:r>
        <w:rPr>
          <w:rFonts w:hint="eastAsia" w:ascii="仿宋_GB2312" w:hAnsi="仿宋_GB2312" w:eastAsia="仿宋_GB2312" w:cs="仿宋_GB2312"/>
          <w:color w:val="auto"/>
          <w:sz w:val="32"/>
          <w:szCs w:val="32"/>
          <w:lang w:val="en-US" w:eastAsia="zh-CN"/>
        </w:rPr>
        <w:t>知识产权</w:t>
      </w:r>
      <w:r>
        <w:rPr>
          <w:rFonts w:hint="eastAsia" w:ascii="仿宋_GB2312" w:hAnsi="仿宋_GB2312" w:eastAsia="仿宋_GB2312" w:cs="仿宋_GB2312"/>
          <w:color w:val="auto"/>
          <w:sz w:val="32"/>
          <w:szCs w:val="32"/>
        </w:rPr>
        <w:t>推动</w:t>
      </w:r>
      <w:r>
        <w:rPr>
          <w:rFonts w:hint="eastAsia" w:ascii="仿宋_GB2312" w:hAnsi="仿宋_GB2312" w:eastAsia="仿宋_GB2312" w:cs="仿宋_GB2312"/>
          <w:color w:val="auto"/>
          <w:sz w:val="32"/>
          <w:szCs w:val="32"/>
          <w:lang w:val="en-US" w:eastAsia="zh-CN"/>
        </w:rPr>
        <w:t>烟台市经济</w:t>
      </w:r>
      <w:r>
        <w:rPr>
          <w:rFonts w:hint="eastAsia" w:ascii="仿宋_GB2312" w:hAnsi="仿宋_GB2312" w:eastAsia="仿宋_GB2312" w:cs="仿宋_GB2312"/>
          <w:color w:val="auto"/>
          <w:sz w:val="32"/>
          <w:szCs w:val="32"/>
        </w:rPr>
        <w:t>高质量发展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深化供给侧结构性改革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以重点</w:t>
      </w:r>
      <w:r>
        <w:rPr>
          <w:rFonts w:hint="eastAsia" w:ascii="仿宋_GB2312" w:hAnsi="仿宋_GB2312" w:eastAsia="仿宋_GB2312" w:cs="仿宋_GB2312"/>
          <w:color w:val="auto"/>
          <w:sz w:val="32"/>
          <w:szCs w:val="32"/>
          <w:lang w:val="en-US" w:eastAsia="zh-CN"/>
        </w:rPr>
        <w:t>任务</w:t>
      </w:r>
      <w:r>
        <w:rPr>
          <w:rFonts w:hint="eastAsia" w:ascii="仿宋_GB2312" w:hAnsi="仿宋_GB2312" w:eastAsia="仿宋_GB2312" w:cs="仿宋_GB2312"/>
          <w:color w:val="auto"/>
          <w:sz w:val="32"/>
          <w:szCs w:val="32"/>
        </w:rPr>
        <w:t>、重点</w:t>
      </w:r>
      <w:r>
        <w:rPr>
          <w:rFonts w:hint="eastAsia" w:ascii="仿宋_GB2312" w:hAnsi="仿宋_GB2312" w:eastAsia="仿宋_GB2312" w:cs="仿宋_GB2312"/>
          <w:color w:val="auto"/>
          <w:sz w:val="32"/>
          <w:szCs w:val="32"/>
          <w:lang w:val="en-US" w:eastAsia="zh-CN"/>
        </w:rPr>
        <w:t>工程</w:t>
      </w:r>
      <w:r>
        <w:rPr>
          <w:rFonts w:hint="eastAsia" w:ascii="仿宋_GB2312" w:hAnsi="仿宋_GB2312" w:eastAsia="仿宋_GB2312" w:cs="仿宋_GB2312"/>
          <w:color w:val="auto"/>
          <w:sz w:val="32"/>
          <w:szCs w:val="32"/>
        </w:rPr>
        <w:t>为抓手，全面加强</w:t>
      </w:r>
      <w:r>
        <w:rPr>
          <w:rFonts w:hint="eastAsia" w:ascii="仿宋_GB2312" w:hAnsi="仿宋_GB2312" w:eastAsia="仿宋_GB2312" w:cs="仿宋_GB2312"/>
          <w:color w:val="auto"/>
          <w:sz w:val="32"/>
          <w:szCs w:val="32"/>
          <w:lang w:val="en-US" w:eastAsia="zh-CN"/>
        </w:rPr>
        <w:t>烟台</w:t>
      </w:r>
      <w:r>
        <w:rPr>
          <w:rFonts w:hint="eastAsia" w:ascii="仿宋_GB2312" w:hAnsi="仿宋_GB2312" w:eastAsia="仿宋_GB2312" w:cs="仿宋_GB2312"/>
          <w:color w:val="auto"/>
          <w:sz w:val="32"/>
          <w:szCs w:val="32"/>
        </w:rPr>
        <w:t>市知识产权保护和运用工作，建设引领型知识产权强市，特编制本</w:t>
      </w:r>
      <w:r>
        <w:rPr>
          <w:rFonts w:hint="eastAsia" w:ascii="仿宋_GB2312" w:hAnsi="仿宋_GB2312" w:eastAsia="仿宋_GB2312" w:cs="仿宋_GB2312"/>
          <w:strike w:val="0"/>
          <w:dstrike w:val="0"/>
          <w:color w:val="auto"/>
          <w:sz w:val="32"/>
          <w:szCs w:val="32"/>
          <w:lang w:eastAsia="zh-CN"/>
        </w:rPr>
        <w:t>纲要</w:t>
      </w:r>
      <w:r>
        <w:rPr>
          <w:rFonts w:hint="eastAsia" w:ascii="仿宋_GB2312" w:hAnsi="仿宋_GB2312" w:eastAsia="仿宋_GB2312" w:cs="仿宋_GB2312"/>
          <w:color w:val="auto"/>
          <w:sz w:val="32"/>
          <w:szCs w:val="32"/>
        </w:rPr>
        <w:t>。</w:t>
      </w:r>
    </w:p>
    <w:p>
      <w:pPr>
        <w:pStyle w:val="3"/>
        <w:pageBreakBefore w:val="0"/>
        <w:kinsoku/>
        <w:wordWrap/>
        <w:overflowPunct/>
        <w:autoSpaceDE/>
        <w:autoSpaceDN/>
        <w:bidi w:val="0"/>
        <w:spacing w:beforeAutospacing="0" w:after="0" w:afterAutospacing="0" w:line="240" w:lineRule="auto"/>
        <w:ind w:firstLine="640" w:firstLineChars="200"/>
        <w:textAlignment w:val="auto"/>
        <w:rPr>
          <w:rFonts w:hint="eastAsia"/>
          <w:lang w:val="en-US" w:eastAsia="zh-CN"/>
        </w:rPr>
      </w:pPr>
      <w:bookmarkStart w:id="0" w:name="_Toc1875"/>
      <w:r>
        <w:rPr>
          <w:rFonts w:hint="eastAsia"/>
          <w:lang w:val="en-US" w:eastAsia="zh-CN"/>
        </w:rPr>
        <w:t>一、发展基础</w:t>
      </w:r>
      <w:bookmarkEnd w:id="0"/>
    </w:p>
    <w:p>
      <w:pPr>
        <w:pageBreakBefore w:val="0"/>
        <w:kinsoku/>
        <w:wordWrap/>
        <w:overflowPunct/>
        <w:autoSpaceDE/>
        <w:autoSpaceDN/>
        <w:bidi w:val="0"/>
        <w:spacing w:beforeAutospacing="0" w:afterAutospacing="0" w:line="240" w:lineRule="auto"/>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“十三五”是我国全面建成小康社会决胜阶段，中华人民共和国成立70周年，改革开放迎来40周年。五年来，</w:t>
      </w:r>
      <w:r>
        <w:rPr>
          <w:rFonts w:hint="eastAsia" w:ascii="Times New Roman" w:hAnsi="Times New Roman" w:eastAsia="仿宋_GB2312" w:cs="Times New Roman"/>
          <w:kern w:val="2"/>
          <w:sz w:val="32"/>
          <w:szCs w:val="32"/>
          <w:lang w:val="en-US" w:eastAsia="zh-CN" w:bidi="ar-SA"/>
        </w:rPr>
        <w:t>烟台</w:t>
      </w:r>
      <w:r>
        <w:rPr>
          <w:rFonts w:hint="default" w:ascii="Times New Roman" w:hAnsi="Times New Roman" w:eastAsia="仿宋_GB2312" w:cs="Times New Roman"/>
          <w:kern w:val="2"/>
          <w:sz w:val="32"/>
          <w:szCs w:val="32"/>
          <w:lang w:val="en-US" w:eastAsia="zh-CN" w:bidi="ar-SA"/>
        </w:rPr>
        <w:t>市知识产权事业开拓创新，奋力发展，在国家知识产权局指导下，</w:t>
      </w:r>
      <w:r>
        <w:rPr>
          <w:rFonts w:hint="eastAsia" w:ascii="Times New Roman" w:hAnsi="Times New Roman" w:eastAsia="仿宋_GB2312" w:cs="Times New Roman"/>
          <w:kern w:val="2"/>
          <w:sz w:val="32"/>
          <w:szCs w:val="32"/>
          <w:lang w:val="en-US" w:eastAsia="zh-CN" w:bidi="ar-SA"/>
        </w:rPr>
        <w:t>在烟台市委、市政府坚强领导下，烟台市知识产权强市战略实施工作领导小组成员单位</w:t>
      </w:r>
      <w:r>
        <w:rPr>
          <w:rFonts w:hint="default" w:ascii="Times New Roman" w:hAnsi="Times New Roman" w:eastAsia="仿宋_GB2312" w:cs="Times New Roman"/>
          <w:kern w:val="2"/>
          <w:sz w:val="32"/>
          <w:szCs w:val="32"/>
          <w:lang w:val="en-US" w:eastAsia="zh-CN" w:bidi="ar-SA"/>
        </w:rPr>
        <w:t>深入贯彻落实习近平新时代中国特色社会主义思想，</w:t>
      </w:r>
      <w:r>
        <w:rPr>
          <w:rFonts w:hint="eastAsia" w:ascii="Times New Roman" w:hAnsi="Times New Roman" w:eastAsia="仿宋_GB2312" w:cs="Times New Roman"/>
          <w:kern w:val="2"/>
          <w:sz w:val="32"/>
          <w:szCs w:val="32"/>
          <w:lang w:val="en-US" w:eastAsia="zh-CN" w:bidi="ar-SA"/>
        </w:rPr>
        <w:t>践行“保护知识产权就是保护创新的理念”，</w:t>
      </w:r>
      <w:r>
        <w:rPr>
          <w:rFonts w:hint="default" w:ascii="Times New Roman" w:hAnsi="Times New Roman" w:eastAsia="仿宋_GB2312" w:cs="Times New Roman"/>
          <w:kern w:val="2"/>
          <w:sz w:val="32"/>
          <w:szCs w:val="32"/>
          <w:lang w:val="en-US" w:eastAsia="zh-CN" w:bidi="ar-SA"/>
        </w:rPr>
        <w:t>按照“战略引领、改革创新、开放合作”工作思路，以支撑经济</w:t>
      </w:r>
      <w:r>
        <w:rPr>
          <w:rFonts w:hint="eastAsia" w:ascii="Times New Roman" w:hAnsi="Times New Roman" w:eastAsia="仿宋_GB2312" w:cs="Times New Roman"/>
          <w:kern w:val="2"/>
          <w:sz w:val="32"/>
          <w:szCs w:val="32"/>
          <w:lang w:val="en-US" w:eastAsia="zh-CN" w:bidi="ar-SA"/>
        </w:rPr>
        <w:t>高质量</w:t>
      </w:r>
      <w:r>
        <w:rPr>
          <w:rFonts w:hint="default" w:ascii="Times New Roman" w:hAnsi="Times New Roman" w:eastAsia="仿宋_GB2312" w:cs="Times New Roman"/>
          <w:kern w:val="2"/>
          <w:sz w:val="32"/>
          <w:szCs w:val="32"/>
          <w:lang w:val="en-US" w:eastAsia="zh-CN" w:bidi="ar-SA"/>
        </w:rPr>
        <w:t>发展为主线，以“激励创造、有效运用、依法保护、科学管理”为重点，</w:t>
      </w:r>
      <w:r>
        <w:rPr>
          <w:rFonts w:hint="eastAsia" w:ascii="Times New Roman" w:hAnsi="Times New Roman" w:eastAsia="仿宋_GB2312" w:cs="Times New Roman"/>
          <w:kern w:val="2"/>
          <w:sz w:val="32"/>
          <w:szCs w:val="32"/>
          <w:lang w:val="en-US" w:eastAsia="zh-CN" w:bidi="ar-SA"/>
        </w:rPr>
        <w:t>聚焦知识产权强市建设，主动服务新发展格局，不断优化严保护、大保护、快保护、同保护格局，知识产权创造质量、保护效果、运用效益稳步提升。</w:t>
      </w:r>
      <w:r>
        <w:rPr>
          <w:rFonts w:hint="default" w:ascii="Times New Roman" w:hAnsi="Times New Roman" w:eastAsia="仿宋_GB2312" w:cs="Times New Roman"/>
          <w:kern w:val="2"/>
          <w:sz w:val="32"/>
          <w:szCs w:val="32"/>
          <w:lang w:val="en-US" w:eastAsia="zh-CN" w:bidi="ar-SA"/>
        </w:rPr>
        <w:t>圆满完成“十三五”规划任务，成效显著，为建设</w:t>
      </w:r>
      <w:r>
        <w:rPr>
          <w:rFonts w:hint="eastAsia" w:ascii="Times New Roman" w:hAnsi="Times New Roman" w:eastAsia="仿宋_GB2312" w:cs="Times New Roman"/>
          <w:kern w:val="2"/>
          <w:sz w:val="32"/>
          <w:szCs w:val="32"/>
          <w:lang w:val="en-US" w:eastAsia="zh-CN" w:bidi="ar-SA"/>
        </w:rPr>
        <w:t>烟台经济高质量发展</w:t>
      </w:r>
      <w:r>
        <w:rPr>
          <w:rFonts w:hint="default" w:ascii="Times New Roman" w:hAnsi="Times New Roman" w:eastAsia="仿宋_GB2312" w:cs="Times New Roman"/>
          <w:kern w:val="2"/>
          <w:sz w:val="32"/>
          <w:szCs w:val="32"/>
          <w:lang w:val="en-US" w:eastAsia="zh-CN" w:bidi="ar-SA"/>
        </w:rPr>
        <w:t>提供有力支撑。现将“十三五”主要工作和成效</w:t>
      </w:r>
      <w:r>
        <w:rPr>
          <w:rFonts w:hint="default" w:ascii="Times New Roman" w:hAnsi="Times New Roman" w:eastAsia="仿宋_GB2312" w:cs="Times New Roman"/>
          <w:color w:val="auto"/>
          <w:kern w:val="2"/>
          <w:sz w:val="32"/>
          <w:szCs w:val="32"/>
          <w:lang w:val="en-US" w:eastAsia="zh-CN" w:bidi="ar-SA"/>
        </w:rPr>
        <w:t>总结如下：</w:t>
      </w:r>
    </w:p>
    <w:p>
      <w:pPr>
        <w:pageBreakBefore w:val="0"/>
        <w:kinsoku/>
        <w:wordWrap/>
        <w:overflowPunct/>
        <w:autoSpaceDE/>
        <w:autoSpaceDN/>
        <w:bidi w:val="0"/>
        <w:spacing w:beforeAutospacing="0" w:afterAutospacing="0" w:line="240" w:lineRule="auto"/>
        <w:ind w:firstLine="640" w:firstLineChars="200"/>
        <w:textAlignment w:val="auto"/>
        <w:rPr>
          <w:rStyle w:val="20"/>
          <w:rFonts w:hint="eastAsia"/>
          <w:b w:val="0"/>
          <w:bCs w:val="0"/>
          <w:color w:val="auto"/>
          <w:sz w:val="32"/>
          <w:szCs w:val="32"/>
          <w:lang w:val="en-US" w:eastAsia="zh-CN"/>
        </w:rPr>
      </w:pPr>
      <w:bookmarkStart w:id="1" w:name="_Toc14146"/>
      <w:bookmarkStart w:id="2" w:name="_Toc31031"/>
      <w:r>
        <w:rPr>
          <w:rStyle w:val="20"/>
          <w:rFonts w:hint="eastAsia"/>
          <w:b w:val="0"/>
          <w:bCs w:val="0"/>
          <w:strike w:val="0"/>
          <w:dstrike w:val="0"/>
          <w:color w:val="auto"/>
          <w:sz w:val="32"/>
          <w:szCs w:val="32"/>
          <w:lang w:val="en-US" w:eastAsia="zh-CN"/>
        </w:rPr>
        <w:t>（一）知识产权领域改革全面推进。</w:t>
      </w:r>
      <w:r>
        <w:rPr>
          <w:rFonts w:hint="eastAsia" w:ascii="Times New Roman" w:hAnsi="Times New Roman" w:eastAsia="仿宋_GB2312" w:cs="Times New Roman"/>
          <w:strike w:val="0"/>
          <w:dstrike w:val="0"/>
          <w:color w:val="auto"/>
          <w:kern w:val="2"/>
          <w:sz w:val="32"/>
          <w:szCs w:val="32"/>
          <w:lang w:val="en-US" w:eastAsia="zh-CN" w:bidi="ar-SA"/>
        </w:rPr>
        <w:t>“十三五”以来，烟台市顺利完成知识产权领域机构改革，实现了专利、商标、地理标志的统一管理和综合执法；先后入选首批“国家知识产权强市创建市”、首批“国家知识产权JM融合试点地方”、首批“国家商标战略示范城市”、首批“国家知识产权侵权纠纷检验鉴定技术支撑体系建设试点”、国家知识产权运营服务体系建设重点城市、WIPO技术与创新支持中心筹建机构；建成全国首家正式运行的知识产权保护中心和全国首家自贸区知识产权保护中心。知识产权纠纷人民调解工作室在全国率先实现县级全覆盖，先后建起32家知识产权维权援助分支机构，知识产权纠纷人民调解委员会被司法部授予全国模范人民调解委员会称号。</w:t>
      </w:r>
    </w:p>
    <w:p>
      <w:pPr>
        <w:pageBreakBefore w:val="0"/>
        <w:kinsoku/>
        <w:wordWrap/>
        <w:overflowPunct/>
        <w:autoSpaceDE/>
        <w:autoSpaceDN/>
        <w:bidi w:val="0"/>
        <w:spacing w:beforeAutospacing="0" w:afterAutospacing="0" w:line="240" w:lineRule="auto"/>
        <w:ind w:firstLine="640" w:firstLineChars="200"/>
        <w:textAlignment w:val="auto"/>
        <w:rPr>
          <w:rFonts w:hint="eastAsia" w:ascii="Times New Roman" w:hAnsi="Times New Roman" w:eastAsia="仿宋_GB2312" w:cs="Times New Roman"/>
          <w:strike/>
          <w:dstrike w:val="0"/>
          <w:color w:val="auto"/>
          <w:kern w:val="2"/>
          <w:sz w:val="32"/>
          <w:szCs w:val="32"/>
          <w:lang w:val="en-US" w:eastAsia="zh-CN" w:bidi="ar-SA"/>
        </w:rPr>
      </w:pPr>
      <w:r>
        <w:rPr>
          <w:rStyle w:val="20"/>
          <w:rFonts w:hint="eastAsia"/>
          <w:b w:val="0"/>
          <w:bCs w:val="0"/>
          <w:strike w:val="0"/>
          <w:dstrike w:val="0"/>
          <w:color w:val="auto"/>
          <w:sz w:val="32"/>
          <w:szCs w:val="32"/>
          <w:lang w:val="en-US" w:eastAsia="zh-CN"/>
        </w:rPr>
        <w:t>（二）</w:t>
      </w:r>
      <w:r>
        <w:rPr>
          <w:rStyle w:val="20"/>
          <w:rFonts w:hint="eastAsia"/>
          <w:b w:val="0"/>
          <w:bCs w:val="0"/>
          <w:strike w:val="0"/>
          <w:color w:val="auto"/>
          <w:sz w:val="32"/>
          <w:szCs w:val="32"/>
          <w:lang w:val="en-US" w:eastAsia="zh-CN"/>
        </w:rPr>
        <w:t>知</w:t>
      </w:r>
      <w:r>
        <w:rPr>
          <w:rStyle w:val="20"/>
          <w:rFonts w:hint="eastAsia"/>
          <w:b w:val="0"/>
          <w:bCs w:val="0"/>
          <w:color w:val="auto"/>
          <w:sz w:val="32"/>
          <w:szCs w:val="32"/>
          <w:lang w:val="en-US" w:eastAsia="zh-CN"/>
        </w:rPr>
        <w:t>识产权创造能力大幅跃升</w:t>
      </w:r>
      <w:bookmarkEnd w:id="1"/>
      <w:r>
        <w:rPr>
          <w:rStyle w:val="20"/>
          <w:rFonts w:hint="eastAsia"/>
          <w:b w:val="0"/>
          <w:bCs w:val="0"/>
          <w:color w:val="auto"/>
          <w:sz w:val="32"/>
          <w:szCs w:val="32"/>
          <w:lang w:val="en-US" w:eastAsia="zh-CN"/>
        </w:rPr>
        <w:t>。</w:t>
      </w:r>
      <w:bookmarkEnd w:id="2"/>
      <w:r>
        <w:rPr>
          <w:rFonts w:hint="eastAsia" w:ascii="Times New Roman" w:hAnsi="Times New Roman" w:eastAsia="仿宋_GB2312" w:cs="Times New Roman"/>
          <w:color w:val="auto"/>
          <w:kern w:val="2"/>
          <w:sz w:val="32"/>
          <w:szCs w:val="32"/>
          <w:lang w:val="en-US" w:eastAsia="zh-CN" w:bidi="ar-SA"/>
        </w:rPr>
        <w:t>截至2020年底，全市有效发明专利拥有量8563件，每万人有效发明专利拥有量12.02件，全市有效注册商标10.6万件，马德里国际注册商标246件，各项指标均圆满完成预定目标和任务；累计获得中国专利金奖7项，优秀奖43项，获奖数量居于全国地级市前列；6项专利组合入选山东省重点领域关键核心技术知识产权。</w:t>
      </w:r>
    </w:p>
    <w:p>
      <w:pPr>
        <w:pageBreakBefore w:val="0"/>
        <w:kinsoku/>
        <w:wordWrap/>
        <w:overflowPunct/>
        <w:autoSpaceDE/>
        <w:autoSpaceDN/>
        <w:bidi w:val="0"/>
        <w:spacing w:beforeAutospacing="0" w:afterAutospacing="0" w:line="240" w:lineRule="auto"/>
        <w:ind w:firstLine="640" w:firstLineChars="200"/>
        <w:textAlignment w:val="auto"/>
        <w:rPr>
          <w:rFonts w:hint="eastAsia" w:ascii="Times New Roman" w:hAnsi="Times New Roman" w:eastAsia="仿宋_GB2312" w:cs="Times New Roman"/>
          <w:strike/>
          <w:dstrike w:val="0"/>
          <w:color w:val="auto"/>
          <w:kern w:val="2"/>
          <w:sz w:val="32"/>
          <w:szCs w:val="32"/>
          <w:lang w:val="en-US" w:eastAsia="zh-CN" w:bidi="ar-SA"/>
        </w:rPr>
      </w:pPr>
      <w:bookmarkStart w:id="3" w:name="_Toc30306"/>
      <w:bookmarkStart w:id="4" w:name="_Toc23496"/>
      <w:r>
        <w:rPr>
          <w:rStyle w:val="20"/>
          <w:rFonts w:hint="eastAsia"/>
          <w:b w:val="0"/>
          <w:bCs w:val="0"/>
          <w:color w:val="auto"/>
          <w:sz w:val="32"/>
          <w:szCs w:val="32"/>
          <w:lang w:val="en-US" w:eastAsia="zh-CN"/>
        </w:rPr>
        <w:t>（三）知识产权保护力度持续强化</w:t>
      </w:r>
      <w:bookmarkEnd w:id="3"/>
      <w:r>
        <w:rPr>
          <w:rStyle w:val="20"/>
          <w:rFonts w:hint="eastAsia"/>
          <w:b w:val="0"/>
          <w:bCs w:val="0"/>
          <w:color w:val="auto"/>
          <w:sz w:val="32"/>
          <w:szCs w:val="32"/>
          <w:lang w:val="en-US" w:eastAsia="zh-CN"/>
        </w:rPr>
        <w:t>。</w:t>
      </w:r>
      <w:bookmarkEnd w:id="4"/>
      <w:r>
        <w:rPr>
          <w:rFonts w:hint="eastAsia" w:ascii="Times New Roman" w:hAnsi="Times New Roman" w:eastAsia="仿宋_GB2312" w:cs="Times New Roman"/>
          <w:color w:val="auto"/>
          <w:kern w:val="2"/>
          <w:sz w:val="32"/>
          <w:szCs w:val="32"/>
          <w:lang w:val="en-US" w:eastAsia="zh-CN" w:bidi="ar-SA"/>
        </w:rPr>
        <w:t>市场监管、海关、公安等部门加强联勤联动，健全信息共享、案件会商、联合执法等工作机制，深化行刑衔接，深挖案源线索，有效凝聚共建共治合力，加快实现知识产权全链条保护。“十三五”期间，各部门深入开展“铁拳”“雷霆”“昆仑”“龙腾”等专项行动，办理各类专利、商标行政执法案件1657件</w:t>
      </w:r>
      <w:r>
        <w:rPr>
          <w:rFonts w:hint="eastAsia" w:ascii="Times New Roman" w:hAnsi="Times New Roman" w:eastAsia="仿宋_GB2312" w:cs="Times New Roman"/>
          <w:strike w:val="0"/>
          <w:dstrike w:val="0"/>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侦破知识产权类犯罪重大案件36起，抓获犯罪嫌疑人278名，总涉案价值达9亿余元；烟台海关培塑重点自主知识产权优势企业8家，新增知识产权备案214起，采取知识产权保护措施近200批次，涉及货物数量13000余件；烟台法院将提高知识产权案件审判质效作为司法保护工作的出发点和落脚点，着力破解权利人举证难、案件周期长问题。“十三五”期间，烟台两级法院共受理知识产权民事案件5035件，刑事案件47件，全市重点企业、支柱产业的高质量发展保驾护航。</w:t>
      </w:r>
    </w:p>
    <w:p>
      <w:pPr>
        <w:pageBreakBefore w:val="0"/>
        <w:kinsoku/>
        <w:wordWrap/>
        <w:overflowPunct/>
        <w:autoSpaceDE/>
        <w:autoSpaceDN/>
        <w:bidi w:val="0"/>
        <w:spacing w:beforeAutospacing="0" w:afterAutospacing="0" w:line="240" w:lineRule="auto"/>
        <w:ind w:firstLine="640" w:firstLineChars="200"/>
        <w:textAlignment w:val="auto"/>
        <w:rPr>
          <w:rFonts w:hint="eastAsia" w:ascii="Times New Roman" w:hAnsi="Times New Roman" w:eastAsia="仿宋_GB2312" w:cs="Times New Roman"/>
          <w:color w:val="auto"/>
          <w:kern w:val="2"/>
          <w:sz w:val="32"/>
          <w:szCs w:val="32"/>
          <w:lang w:val="en-US" w:eastAsia="zh-CN" w:bidi="ar-SA"/>
        </w:rPr>
      </w:pPr>
      <w:bookmarkStart w:id="5" w:name="_Toc8684"/>
      <w:bookmarkStart w:id="6" w:name="_Toc6030"/>
      <w:r>
        <w:rPr>
          <w:rStyle w:val="20"/>
          <w:rFonts w:hint="eastAsia"/>
          <w:b w:val="0"/>
          <w:bCs w:val="0"/>
          <w:strike w:val="0"/>
          <w:dstrike w:val="0"/>
          <w:color w:val="auto"/>
          <w:sz w:val="32"/>
          <w:szCs w:val="32"/>
          <w:lang w:val="en-US" w:eastAsia="zh-CN"/>
        </w:rPr>
        <w:t>（四）</w:t>
      </w:r>
      <w:r>
        <w:rPr>
          <w:rStyle w:val="20"/>
          <w:rFonts w:hint="eastAsia"/>
          <w:b w:val="0"/>
          <w:bCs w:val="0"/>
          <w:strike w:val="0"/>
          <w:color w:val="auto"/>
          <w:sz w:val="32"/>
          <w:szCs w:val="32"/>
          <w:lang w:val="en-US" w:eastAsia="zh-CN"/>
        </w:rPr>
        <w:t>知</w:t>
      </w:r>
      <w:r>
        <w:rPr>
          <w:rStyle w:val="20"/>
          <w:rFonts w:hint="eastAsia"/>
          <w:b w:val="0"/>
          <w:bCs w:val="0"/>
          <w:color w:val="auto"/>
          <w:sz w:val="32"/>
          <w:szCs w:val="32"/>
          <w:lang w:val="en-US" w:eastAsia="zh-CN"/>
        </w:rPr>
        <w:t>识产权运用效益规模不断扩大</w:t>
      </w:r>
      <w:bookmarkEnd w:id="5"/>
      <w:r>
        <w:rPr>
          <w:rStyle w:val="20"/>
          <w:rFonts w:hint="eastAsia"/>
          <w:b w:val="0"/>
          <w:bCs w:val="0"/>
          <w:color w:val="auto"/>
          <w:sz w:val="32"/>
          <w:szCs w:val="32"/>
          <w:lang w:val="en-US" w:eastAsia="zh-CN"/>
        </w:rPr>
        <w:t>。</w:t>
      </w:r>
      <w:bookmarkEnd w:id="6"/>
      <w:r>
        <w:rPr>
          <w:rFonts w:hint="eastAsia" w:ascii="Times New Roman" w:hAnsi="Times New Roman" w:eastAsia="仿宋_GB2312" w:cs="Times New Roman"/>
          <w:color w:val="auto"/>
          <w:kern w:val="2"/>
          <w:sz w:val="32"/>
          <w:szCs w:val="32"/>
          <w:lang w:val="en-US" w:eastAsia="zh-CN" w:bidi="ar-SA"/>
        </w:rPr>
        <w:t>大力推进地理标志扶贫兴农富民工程，助推乡村振兴，全市拥有地理标志保护产品9件，地理标志证明商标58件，核准使用新版地理标志专用标志企业110家，数量位居全省第一。继龙口粉丝之后，烟台苹果、烟台葡萄酒先后入选中欧地理标志协定保护名录。实施知识产权优势企业培育工程，国家知识产权示范企业达到15家，数量位居全省第一。建成知识产权金融服务联盟，推动全市知识产权质押融资金额累计超过60亿元；2020年山东首个知识产权证券化项目落地烟台，通过182件专利质押获得融资3亿元，帮助16家企业解决融资难题。</w:t>
      </w:r>
    </w:p>
    <w:p>
      <w:pPr>
        <w:pageBreakBefore w:val="0"/>
        <w:kinsoku/>
        <w:wordWrap/>
        <w:overflowPunct/>
        <w:autoSpaceDE/>
        <w:autoSpaceDN/>
        <w:bidi w:val="0"/>
        <w:spacing w:beforeAutospacing="0" w:afterAutospacing="0" w:line="240" w:lineRule="auto"/>
        <w:ind w:firstLine="640" w:firstLineChars="200"/>
        <w:textAlignment w:val="auto"/>
        <w:rPr>
          <w:rFonts w:hint="eastAsia" w:ascii="Times New Roman" w:hAnsi="Times New Roman" w:eastAsia="仿宋_GB2312" w:cs="Times New Roman"/>
          <w:color w:val="auto"/>
          <w:kern w:val="2"/>
          <w:sz w:val="32"/>
          <w:szCs w:val="32"/>
          <w:lang w:val="en-US" w:eastAsia="zh-CN" w:bidi="ar-SA"/>
        </w:rPr>
      </w:pPr>
      <w:bookmarkStart w:id="7" w:name="_Toc16277"/>
      <w:bookmarkStart w:id="8" w:name="_Toc7621"/>
      <w:r>
        <w:rPr>
          <w:rStyle w:val="20"/>
          <w:rFonts w:hint="eastAsia"/>
          <w:b w:val="0"/>
          <w:bCs w:val="0"/>
          <w:strike w:val="0"/>
          <w:dstrike w:val="0"/>
          <w:color w:val="auto"/>
          <w:sz w:val="32"/>
          <w:szCs w:val="32"/>
          <w:lang w:val="en-US" w:eastAsia="zh-CN"/>
        </w:rPr>
        <w:t>（五）</w:t>
      </w:r>
      <w:r>
        <w:rPr>
          <w:rStyle w:val="20"/>
          <w:rFonts w:hint="eastAsia"/>
          <w:b w:val="0"/>
          <w:bCs w:val="0"/>
          <w:color w:val="auto"/>
          <w:sz w:val="32"/>
          <w:szCs w:val="32"/>
          <w:lang w:val="en-US" w:eastAsia="zh-CN"/>
        </w:rPr>
        <w:t>知识产权服务体系日益完善</w:t>
      </w:r>
      <w:bookmarkEnd w:id="7"/>
      <w:r>
        <w:rPr>
          <w:rStyle w:val="20"/>
          <w:rFonts w:hint="eastAsia"/>
          <w:b w:val="0"/>
          <w:bCs w:val="0"/>
          <w:color w:val="auto"/>
          <w:sz w:val="32"/>
          <w:szCs w:val="32"/>
          <w:lang w:val="en-US" w:eastAsia="zh-CN"/>
        </w:rPr>
        <w:t>。</w:t>
      </w:r>
      <w:bookmarkEnd w:id="8"/>
      <w:r>
        <w:rPr>
          <w:rFonts w:hint="eastAsia" w:ascii="Times New Roman" w:hAnsi="Times New Roman" w:eastAsia="仿宋_GB2312" w:cs="Times New Roman"/>
          <w:color w:val="auto"/>
          <w:kern w:val="2"/>
          <w:sz w:val="32"/>
          <w:szCs w:val="32"/>
          <w:lang w:val="en-US" w:eastAsia="zh-CN" w:bidi="ar-SA"/>
        </w:rPr>
        <w:t>烟台知识产权保护中心创建“创造、运营、服务、保护”四位一体的知识产权全链条、“一站式”服务平台，开通专利申请预审绿色通道，专利申请预审结案平均周期仅为5.4天，同时创造国内发明专利53天授权的最短记录。著作权作品登记落户政务服务中心窗口，做到“一窗通办”“一网通办”。建立知识产权保护重点联系企业库，打造知识产权保护直通车，先后指导华东电子等20余家企业构建知识产权管理体系，防范知识产权风险，将知识产权纠纷矛盾及时化解在萌芽中。</w:t>
      </w:r>
      <w:bookmarkStart w:id="9" w:name="_Toc22523"/>
    </w:p>
    <w:p>
      <w:pPr>
        <w:pageBreakBefore w:val="0"/>
        <w:kinsoku/>
        <w:wordWrap/>
        <w:overflowPunct/>
        <w:autoSpaceDE/>
        <w:autoSpaceDN/>
        <w:bidi w:val="0"/>
        <w:spacing w:beforeAutospacing="0" w:afterAutospacing="0"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二、面临的机遇与挑战</w:t>
      </w:r>
      <w:bookmarkEnd w:id="9"/>
      <w:bookmarkStart w:id="10" w:name="_Toc28345"/>
    </w:p>
    <w:p>
      <w:pPr>
        <w:pageBreakBefore w:val="0"/>
        <w:kinsoku/>
        <w:wordWrap/>
        <w:overflowPunct/>
        <w:autoSpaceDE/>
        <w:autoSpaceDN/>
        <w:bidi w:val="0"/>
        <w:spacing w:beforeAutospacing="0" w:afterAutospacing="0" w:line="240" w:lineRule="auto"/>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面临的机遇</w:t>
      </w:r>
      <w:bookmarkEnd w:id="10"/>
      <w:r>
        <w:rPr>
          <w:rFonts w:hint="eastAsia" w:ascii="楷体_GB2312" w:hAnsi="楷体_GB2312" w:eastAsia="楷体_GB2312" w:cs="楷体_GB2312"/>
          <w:color w:val="auto"/>
          <w:sz w:val="32"/>
          <w:szCs w:val="32"/>
          <w:lang w:val="en-US" w:eastAsia="zh-CN"/>
        </w:rPr>
        <w:t>。</w:t>
      </w:r>
    </w:p>
    <w:p>
      <w:pPr>
        <w:pageBreakBefore w:val="0"/>
        <w:widowControl w:val="0"/>
        <w:kinsoku/>
        <w:wordWrap/>
        <w:overflowPunct/>
        <w:topLinePunct w:val="0"/>
        <w:autoSpaceDE/>
        <w:autoSpaceDN/>
        <w:bidi w:val="0"/>
        <w:spacing w:beforeAutospacing="0" w:afterAutospacing="0" w:line="240" w:lineRule="auto"/>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放眼全球，新一轮科技革命和产业革命加快重塑世界，新冠肺炎疫情影响广泛深远，世界正处于百年之未有大变局，中国在融入和构建国际知识产权保护新秩序中扮演重要角色。习近平总书记在中央政治局第二十五次集体学习时指出“知识产权保护工作关系国家治理体系和治理能力现代化，关系高质量发展，关系人民生活幸福，关系国家对外开放大局，关系国家安全。全面加强知识产权保护工作，促进建设现代化经济体系，激发全社会创新活力，推动构建新发展格局。”</w:t>
      </w:r>
    </w:p>
    <w:p>
      <w:pPr>
        <w:pageBreakBefore w:val="0"/>
        <w:kinsoku/>
        <w:wordWrap/>
        <w:overflowPunct/>
        <w:autoSpaceDE/>
        <w:autoSpaceDN/>
        <w:bidi w:val="0"/>
        <w:spacing w:beforeAutospacing="0" w:afterAutospacing="0" w:line="240" w:lineRule="auto"/>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烟台地处山东半岛东北部，是环渤海经济圈内重要节点城市、“一带一路”国家战略重点建设港口城市。是中国首批14个沿海开放城市之一、新旧动能转换综合试验区三核之一、山东自贸区三大片区之一。2020 年，实现地区生产总值7816.42亿元</w:t>
      </w:r>
      <w:r>
        <w:rPr>
          <w:rFonts w:hint="default" w:ascii="Times New Roman" w:hAnsi="Times New Roman" w:eastAsia="仿宋_GB2312" w:cs="Times New Roman"/>
          <w:color w:val="auto"/>
          <w:kern w:val="2"/>
          <w:sz w:val="32"/>
          <w:szCs w:val="32"/>
          <w:lang w:val="en-US" w:eastAsia="zh-CN" w:bidi="ar-SA"/>
        </w:rPr>
        <w:t>、同比增长3.6%</w:t>
      </w:r>
      <w:r>
        <w:rPr>
          <w:rFonts w:hint="eastAsia" w:ascii="Times New Roman" w:hAnsi="Times New Roman" w:eastAsia="仿宋_GB2312" w:cs="Times New Roman"/>
          <w:color w:val="auto"/>
          <w:kern w:val="2"/>
          <w:sz w:val="32"/>
          <w:szCs w:val="32"/>
          <w:lang w:val="en-US" w:eastAsia="zh-CN" w:bidi="ar-SA"/>
        </w:rPr>
        <w:t>。随着知识产权强国战略深入实施，烟台始终坚持把知识产权作为推动新旧动能转换、营造一流营商环境的核心要素，把重构知识产权管理体制机制、加强知识产权工作力量作为推进国家知识产权强市建设、提高知识产权治理体系和治理能力现代化水平的重要保障。作为全国首批国家知识产权强市创建市，烟台市委市政府明确提出“高起点谋划，高标准建设”要求，在知识产权体制机制改革、服务体系建设和人才队伍培养等方面加大投入，创新思路，知识产权事业呈现出政府引导规范和市场内生发展的“双轮”驱动。</w:t>
      </w:r>
      <w:r>
        <w:rPr>
          <w:rFonts w:hint="default" w:ascii="Times New Roman" w:hAnsi="Times New Roman" w:eastAsia="仿宋_GB2312" w:cs="Times New Roman"/>
          <w:color w:val="auto"/>
          <w:kern w:val="2"/>
          <w:sz w:val="32"/>
          <w:szCs w:val="32"/>
          <w:lang w:val="en-US" w:eastAsia="zh-CN" w:bidi="ar-SA"/>
        </w:rPr>
        <w:t>在知识产权高质量创造、高效益运用、高标准保护、高要求管理、高水平服务等方面共同发力，促进知识产权与创新资源、金融资本、产业发展有效融合，适应和支撑</w:t>
      </w:r>
      <w:r>
        <w:rPr>
          <w:rFonts w:hint="eastAsia" w:ascii="Times New Roman" w:hAnsi="Times New Roman" w:eastAsia="仿宋_GB2312" w:cs="Times New Roman"/>
          <w:color w:val="auto"/>
          <w:kern w:val="2"/>
          <w:sz w:val="32"/>
          <w:szCs w:val="32"/>
          <w:lang w:val="en-US" w:eastAsia="zh-CN" w:bidi="ar-SA"/>
        </w:rPr>
        <w:t>烟台</w:t>
      </w:r>
      <w:r>
        <w:rPr>
          <w:rFonts w:hint="default" w:ascii="Times New Roman" w:hAnsi="Times New Roman" w:eastAsia="仿宋_GB2312" w:cs="Times New Roman"/>
          <w:color w:val="auto"/>
          <w:kern w:val="2"/>
          <w:sz w:val="32"/>
          <w:szCs w:val="32"/>
          <w:lang w:val="en-US" w:eastAsia="zh-CN" w:bidi="ar-SA"/>
        </w:rPr>
        <w:t>经济</w:t>
      </w:r>
      <w:r>
        <w:rPr>
          <w:rFonts w:hint="eastAsia" w:ascii="Times New Roman" w:hAnsi="Times New Roman" w:eastAsia="仿宋_GB2312" w:cs="Times New Roman"/>
          <w:color w:val="auto"/>
          <w:kern w:val="2"/>
          <w:sz w:val="32"/>
          <w:szCs w:val="32"/>
          <w:lang w:val="en-US" w:eastAsia="zh-CN" w:bidi="ar-SA"/>
        </w:rPr>
        <w:t>高质量</w:t>
      </w:r>
      <w:r>
        <w:rPr>
          <w:rFonts w:hint="default" w:ascii="Times New Roman" w:hAnsi="Times New Roman" w:eastAsia="仿宋_GB2312" w:cs="Times New Roman"/>
          <w:color w:val="auto"/>
          <w:kern w:val="2"/>
          <w:sz w:val="32"/>
          <w:szCs w:val="32"/>
          <w:lang w:val="en-US" w:eastAsia="zh-CN" w:bidi="ar-SA"/>
        </w:rPr>
        <w:t>发展，加快建设知识产权强市。</w:t>
      </w:r>
      <w:bookmarkStart w:id="11" w:name="_Toc3071"/>
      <w:bookmarkStart w:id="12" w:name="_Toc5771"/>
      <w:bookmarkStart w:id="13" w:name="_Toc8488"/>
      <w:bookmarkStart w:id="14" w:name="_Toc30791"/>
      <w:bookmarkStart w:id="15" w:name="_Toc19393"/>
      <w:bookmarkStart w:id="16" w:name="_Toc10102"/>
    </w:p>
    <w:p>
      <w:pPr>
        <w:pageBreakBefore w:val="0"/>
        <w:numPr>
          <w:ilvl w:val="0"/>
          <w:numId w:val="1"/>
        </w:numPr>
        <w:kinsoku/>
        <w:wordWrap/>
        <w:overflowPunct/>
        <w:autoSpaceDE/>
        <w:autoSpaceDN/>
        <w:bidi w:val="0"/>
        <w:spacing w:beforeAutospacing="0" w:afterAutospacing="0" w:line="240" w:lineRule="auto"/>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面临的</w:t>
      </w:r>
      <w:r>
        <w:rPr>
          <w:rFonts w:hint="eastAsia" w:ascii="楷体_GB2312" w:hAnsi="楷体_GB2312" w:eastAsia="楷体_GB2312" w:cs="楷体_GB2312"/>
          <w:color w:val="auto"/>
          <w:sz w:val="32"/>
          <w:szCs w:val="32"/>
          <w:lang w:eastAsia="zh-CN"/>
        </w:rPr>
        <w:t>挑战</w:t>
      </w:r>
      <w:bookmarkEnd w:id="11"/>
      <w:bookmarkEnd w:id="12"/>
      <w:r>
        <w:rPr>
          <w:rFonts w:hint="eastAsia" w:ascii="楷体_GB2312" w:hAnsi="楷体_GB2312" w:eastAsia="楷体_GB2312" w:cs="楷体_GB2312"/>
          <w:color w:val="auto"/>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我们</w:t>
      </w:r>
      <w:r>
        <w:rPr>
          <w:rFonts w:hint="default" w:ascii="Times New Roman" w:hAnsi="Times New Roman" w:eastAsia="仿宋_GB2312" w:cs="Times New Roman"/>
          <w:color w:val="auto"/>
          <w:kern w:val="2"/>
          <w:sz w:val="32"/>
          <w:szCs w:val="32"/>
          <w:lang w:val="en-US" w:eastAsia="zh-CN" w:bidi="ar-SA"/>
        </w:rPr>
        <w:t>清醒看到发展中仍然存在一些短板弱项：</w:t>
      </w:r>
      <w:bookmarkEnd w:id="13"/>
      <w:bookmarkEnd w:id="14"/>
      <w:bookmarkEnd w:id="15"/>
      <w:bookmarkEnd w:id="16"/>
    </w:p>
    <w:p>
      <w:pPr>
        <w:pageBreakBefore w:val="0"/>
        <w:numPr>
          <w:ilvl w:val="0"/>
          <w:numId w:val="0"/>
        </w:numPr>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color w:val="auto"/>
          <w:sz w:val="32"/>
          <w:szCs w:val="32"/>
        </w:rPr>
      </w:pPr>
      <w:bookmarkStart w:id="17" w:name="_Toc17852"/>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知识产权保护力度有待进一步加强。新业态新领域知识产权侵权行为的多样性、隐蔽性给保护工作带来新的挑战，知识产权行政执法队伍建设有待加强。</w:t>
      </w:r>
    </w:p>
    <w:p>
      <w:pPr>
        <w:pageBreakBefore w:val="0"/>
        <w:numPr>
          <w:ilvl w:val="0"/>
          <w:numId w:val="0"/>
        </w:numPr>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rPr>
        <w:t>高质量知识产权产出有待进一步增加。创新主体活力未能充分释放，缺少创新创造龙头企业，高价值知识产权产量不足，在科研能力、研发投入、人才水平等方面需全力追赶。</w:t>
      </w:r>
    </w:p>
    <w:p>
      <w:pPr>
        <w:pageBreakBefore w:val="0"/>
        <w:numPr>
          <w:ilvl w:val="0"/>
          <w:numId w:val="0"/>
        </w:numPr>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知识产权运用效益有待进一步提高。知识产权运营与产业结合不够紧密，知识产权转化运用效率</w:t>
      </w:r>
      <w:r>
        <w:rPr>
          <w:rFonts w:hint="eastAsia" w:ascii="仿宋_GB2312" w:hAnsi="仿宋_GB2312" w:eastAsia="仿宋_GB2312" w:cs="仿宋_GB2312"/>
          <w:b w:val="0"/>
          <w:bCs/>
          <w:color w:val="auto"/>
          <w:sz w:val="32"/>
          <w:szCs w:val="32"/>
          <w:lang w:val="en-US" w:eastAsia="zh-CN"/>
        </w:rPr>
        <w:t>还有待提升</w:t>
      </w:r>
      <w:r>
        <w:rPr>
          <w:rFonts w:hint="eastAsia" w:ascii="仿宋_GB2312" w:hAnsi="仿宋_GB2312" w:eastAsia="仿宋_GB2312" w:cs="仿宋_GB2312"/>
          <w:b w:val="0"/>
          <w:bCs/>
          <w:color w:val="auto"/>
          <w:sz w:val="32"/>
          <w:szCs w:val="32"/>
        </w:rPr>
        <w:t>，知识产权支撑经济发展的统计指标体系亟需完善。</w:t>
      </w:r>
    </w:p>
    <w:p>
      <w:pPr>
        <w:pageBreakBefore w:val="0"/>
        <w:numPr>
          <w:ilvl w:val="0"/>
          <w:numId w:val="0"/>
        </w:numPr>
        <w:kinsoku/>
        <w:wordWrap/>
        <w:overflowPunct/>
        <w:autoSpaceDE/>
        <w:autoSpaceDN/>
        <w:bidi w:val="0"/>
        <w:spacing w:beforeAutospacing="0" w:afterAutospacing="0" w:line="240" w:lineRule="auto"/>
        <w:ind w:firstLine="640" w:firstLineChars="200"/>
        <w:textAlignment w:val="auto"/>
        <w:rPr>
          <w:color w:val="auto"/>
        </w:rPr>
      </w:pP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rPr>
        <w:t>知识产权服务有待进一步完善。知识产权公共服务供给不够便民利民，知识产权涉外服务领域</w:t>
      </w:r>
      <w:r>
        <w:rPr>
          <w:rFonts w:hint="eastAsia" w:ascii="仿宋_GB2312" w:hAnsi="仿宋_GB2312" w:eastAsia="仿宋_GB2312" w:cs="仿宋_GB2312"/>
          <w:color w:val="auto"/>
          <w:sz w:val="32"/>
          <w:szCs w:val="32"/>
        </w:rPr>
        <w:t>仍需拓展，高端化、国际化知识产权人才缺乏。</w:t>
      </w:r>
      <w:bookmarkEnd w:id="17"/>
    </w:p>
    <w:p>
      <w:pPr>
        <w:pageBreakBefore w:val="0"/>
        <w:kinsoku/>
        <w:wordWrap/>
        <w:overflowPunct/>
        <w:autoSpaceDE/>
        <w:autoSpaceDN/>
        <w:bidi w:val="0"/>
        <w:spacing w:beforeAutospacing="0" w:afterAutospacing="0" w:line="240" w:lineRule="auto"/>
        <w:ind w:firstLine="640" w:firstLineChars="200"/>
        <w:textAlignment w:val="auto"/>
        <w:outlineLvl w:val="0"/>
        <w:rPr>
          <w:rFonts w:hint="default" w:ascii="黑体" w:hAnsi="黑体" w:eastAsia="黑体" w:cs="黑体"/>
          <w:color w:val="auto"/>
          <w:sz w:val="32"/>
          <w:szCs w:val="32"/>
          <w:lang w:val="en-US" w:eastAsia="zh-CN"/>
        </w:rPr>
      </w:pPr>
      <w:bookmarkStart w:id="18" w:name="_Toc26209"/>
      <w:r>
        <w:rPr>
          <w:rStyle w:val="25"/>
          <w:rFonts w:hint="eastAsia" w:eastAsia="黑体"/>
          <w:b w:val="0"/>
          <w:bCs w:val="0"/>
          <w:color w:val="auto"/>
          <w:lang w:val="en-US" w:eastAsia="zh-CN"/>
        </w:rPr>
        <w:t>三</w:t>
      </w:r>
      <w:r>
        <w:rPr>
          <w:rStyle w:val="25"/>
          <w:rFonts w:hint="eastAsia"/>
          <w:b w:val="0"/>
          <w:bCs w:val="0"/>
          <w:color w:val="auto"/>
        </w:rPr>
        <w:t>、总体要求</w:t>
      </w:r>
      <w:r>
        <w:rPr>
          <w:rStyle w:val="25"/>
          <w:rFonts w:hint="eastAsia" w:eastAsia="黑体"/>
          <w:b w:val="0"/>
          <w:bCs w:val="0"/>
          <w:color w:val="auto"/>
          <w:lang w:val="en-US" w:eastAsia="zh-CN"/>
        </w:rPr>
        <w:t>与发展目标</w:t>
      </w:r>
      <w:bookmarkEnd w:id="18"/>
    </w:p>
    <w:p>
      <w:pPr>
        <w:pStyle w:val="9"/>
        <w:pageBreakBefore w:val="0"/>
        <w:kinsoku/>
        <w:wordWrap/>
        <w:overflowPunct/>
        <w:autoSpaceDE/>
        <w:autoSpaceDN/>
        <w:bidi w:val="0"/>
        <w:spacing w:beforeAutospacing="0" w:afterAutospacing="0" w:line="240" w:lineRule="auto"/>
        <w:ind w:firstLine="640" w:firstLineChars="200"/>
        <w:textAlignment w:val="auto"/>
        <w:rPr>
          <w:rStyle w:val="20"/>
          <w:rFonts w:hint="eastAsia" w:ascii="楷体_GB2312" w:hAnsi="楷体_GB2312" w:eastAsia="楷体_GB2312" w:cs="楷体_GB2312"/>
          <w:b w:val="0"/>
          <w:bCs w:val="0"/>
          <w:color w:val="auto"/>
          <w:sz w:val="32"/>
          <w:szCs w:val="32"/>
        </w:rPr>
      </w:pPr>
      <w:bookmarkStart w:id="19" w:name="_Toc16046"/>
      <w:r>
        <w:rPr>
          <w:rStyle w:val="20"/>
          <w:rFonts w:hint="eastAsia" w:ascii="楷体_GB2312" w:hAnsi="楷体_GB2312" w:eastAsia="楷体_GB2312" w:cs="楷体_GB2312"/>
          <w:b w:val="0"/>
          <w:bCs w:val="0"/>
          <w:color w:val="auto"/>
          <w:sz w:val="32"/>
          <w:szCs w:val="32"/>
        </w:rPr>
        <w:t>(一)指导思想。</w:t>
      </w:r>
      <w:bookmarkEnd w:id="19"/>
    </w:p>
    <w:p>
      <w:pPr>
        <w:pStyle w:val="9"/>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strike w:val="0"/>
          <w:color w:val="auto"/>
          <w:sz w:val="32"/>
          <w:szCs w:val="32"/>
        </w:rPr>
      </w:pPr>
      <w:r>
        <w:rPr>
          <w:rFonts w:hint="eastAsia" w:ascii="仿宋_GB2312" w:hAnsi="仿宋_GB2312" w:eastAsia="仿宋_GB2312" w:cs="仿宋_GB2312"/>
          <w:color w:val="auto"/>
          <w:sz w:val="32"/>
          <w:szCs w:val="32"/>
        </w:rPr>
        <w:t>以习近平新时代中国特色社会主义思想为指导，</w:t>
      </w:r>
      <w:r>
        <w:rPr>
          <w:rFonts w:hint="eastAsia" w:ascii="仿宋_GB2312" w:hAnsi="仿宋_GB2312" w:eastAsia="仿宋_GB2312" w:cs="仿宋_GB2312"/>
          <w:strike w:val="0"/>
          <w:dstrike w:val="0"/>
          <w:color w:val="auto"/>
          <w:sz w:val="32"/>
          <w:szCs w:val="32"/>
          <w:lang w:eastAsia="zh-CN"/>
        </w:rPr>
        <w:t>深入</w:t>
      </w:r>
      <w:r>
        <w:rPr>
          <w:rFonts w:hint="eastAsia" w:ascii="仿宋_GB2312" w:hAnsi="仿宋_GB2312" w:eastAsia="仿宋_GB2312" w:cs="仿宋_GB2312"/>
          <w:color w:val="auto"/>
          <w:sz w:val="32"/>
          <w:szCs w:val="32"/>
        </w:rPr>
        <w:t>贯彻党的十九大和十九届二中、三中、四中、五中全会精神，</w:t>
      </w:r>
      <w:r>
        <w:rPr>
          <w:rFonts w:hint="eastAsia" w:ascii="仿宋_GB2312" w:hAnsi="仿宋_GB2312" w:eastAsia="仿宋_GB2312" w:cs="仿宋_GB2312"/>
          <w:strike w:val="0"/>
          <w:dstrike w:val="0"/>
          <w:color w:val="auto"/>
          <w:sz w:val="32"/>
          <w:szCs w:val="32"/>
          <w:lang w:eastAsia="zh-CN"/>
        </w:rPr>
        <w:t>全面落实</w:t>
      </w:r>
      <w:r>
        <w:rPr>
          <w:rFonts w:hint="eastAsia" w:ascii="仿宋_GB2312" w:hAnsi="仿宋_GB2312" w:eastAsia="仿宋_GB2312" w:cs="仿宋_GB2312"/>
          <w:color w:val="auto"/>
          <w:sz w:val="32"/>
          <w:szCs w:val="32"/>
        </w:rPr>
        <w:t>习近平总书记</w:t>
      </w:r>
      <w:r>
        <w:rPr>
          <w:rFonts w:hint="eastAsia" w:ascii="仿宋_GB2312" w:hAnsi="仿宋_GB2312" w:eastAsia="仿宋_GB2312" w:cs="仿宋_GB2312"/>
          <w:color w:val="auto"/>
          <w:sz w:val="32"/>
          <w:szCs w:val="32"/>
          <w:lang w:eastAsia="zh-CN"/>
        </w:rPr>
        <w:t>视察</w:t>
      </w:r>
      <w:r>
        <w:rPr>
          <w:rFonts w:hint="eastAsia" w:ascii="仿宋_GB2312" w:hAnsi="仿宋_GB2312" w:eastAsia="仿宋_GB2312" w:cs="仿宋_GB2312"/>
          <w:color w:val="auto"/>
          <w:sz w:val="32"/>
          <w:szCs w:val="32"/>
        </w:rPr>
        <w:t>山东</w:t>
      </w:r>
      <w:r>
        <w:rPr>
          <w:rFonts w:hint="eastAsia" w:ascii="仿宋_GB2312" w:hAnsi="仿宋_GB2312" w:eastAsia="仿宋_GB2312" w:cs="仿宋_GB2312"/>
          <w:color w:val="auto"/>
          <w:sz w:val="32"/>
          <w:szCs w:val="32"/>
          <w:lang w:eastAsia="zh-CN"/>
        </w:rPr>
        <w:t>、视察烟台重要讲话精神和关于知识产权重要指示精神，</w:t>
      </w:r>
      <w:r>
        <w:rPr>
          <w:rFonts w:hint="eastAsia" w:ascii="仿宋_GB2312" w:hAnsi="仿宋_GB2312" w:eastAsia="仿宋_GB2312" w:cs="仿宋_GB2312"/>
          <w:strike w:val="0"/>
          <w:dstrike w:val="0"/>
          <w:color w:val="auto"/>
          <w:sz w:val="32"/>
          <w:szCs w:val="32"/>
          <w:lang w:eastAsia="zh-CN"/>
        </w:rPr>
        <w:t>积极践行</w:t>
      </w:r>
      <w:r>
        <w:rPr>
          <w:rFonts w:hint="eastAsia" w:ascii="仿宋_GB2312" w:hAnsi="仿宋_GB2312" w:eastAsia="仿宋_GB2312" w:cs="仿宋_GB2312"/>
          <w:color w:val="auto"/>
          <w:sz w:val="32"/>
          <w:szCs w:val="32"/>
        </w:rPr>
        <w:t>省委“走在前列、全面开创”</w:t>
      </w:r>
      <w:r>
        <w:rPr>
          <w:rFonts w:hint="eastAsia" w:ascii="仿宋_GB2312" w:hAnsi="仿宋_GB2312" w:eastAsia="仿宋_GB2312" w:cs="仿宋_GB2312"/>
          <w:strike w:val="0"/>
          <w:dstrike w:val="0"/>
          <w:color w:val="auto"/>
          <w:sz w:val="32"/>
          <w:szCs w:val="32"/>
          <w:lang w:eastAsia="zh-CN"/>
        </w:rPr>
        <w:t>决策部署</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紧密围绕全省“三核”城市功能定位，</w:t>
      </w:r>
      <w:r>
        <w:rPr>
          <w:rFonts w:hint="eastAsia" w:ascii="仿宋_GB2312" w:hAnsi="仿宋_GB2312" w:eastAsia="仿宋_GB2312" w:cs="仿宋_GB2312"/>
          <w:color w:val="auto"/>
          <w:sz w:val="32"/>
          <w:szCs w:val="32"/>
        </w:rPr>
        <w:t>以</w:t>
      </w:r>
      <w:r>
        <w:rPr>
          <w:rFonts w:hint="eastAsia" w:ascii="仿宋_GB2312" w:hAnsi="仿宋_GB2312" w:eastAsia="仿宋_GB2312" w:cs="仿宋_GB2312"/>
          <w:strike w:val="0"/>
          <w:dstrike w:val="0"/>
          <w:color w:val="auto"/>
          <w:sz w:val="32"/>
          <w:szCs w:val="32"/>
          <w:lang w:eastAsia="zh-CN"/>
        </w:rPr>
        <w:t>知识产权</w:t>
      </w:r>
      <w:r>
        <w:rPr>
          <w:rFonts w:hint="eastAsia" w:ascii="仿宋_GB2312" w:hAnsi="仿宋_GB2312" w:eastAsia="仿宋_GB2312" w:cs="仿宋_GB2312"/>
          <w:color w:val="auto"/>
          <w:sz w:val="32"/>
          <w:szCs w:val="32"/>
        </w:rPr>
        <w:t>高质量发展为主线，</w:t>
      </w:r>
      <w:r>
        <w:rPr>
          <w:rFonts w:hint="default" w:ascii="仿宋_GB2312" w:hAnsi="仿宋_GB2312" w:eastAsia="仿宋_GB2312" w:cs="仿宋_GB2312"/>
          <w:color w:val="auto"/>
          <w:sz w:val="32"/>
          <w:szCs w:val="32"/>
        </w:rPr>
        <w:t>以强化知识产权保护与运用为主攻方向，打通知识产权创造、运用、保护、管理、服务全链条，推动知识产权高质量创造、高标准保护、高效益运用、高品质服务和高水平合作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深度聚焦知识产权运营服务体系重点城市建设，大力推进“四大工程”，</w:t>
      </w:r>
      <w:r>
        <w:rPr>
          <w:rFonts w:hint="default" w:ascii="仿宋_GB2312" w:hAnsi="仿宋_GB2312" w:eastAsia="仿宋_GB2312" w:cs="仿宋_GB2312"/>
          <w:color w:val="auto"/>
          <w:sz w:val="32"/>
          <w:szCs w:val="32"/>
        </w:rPr>
        <w:t>全面提升知识产权</w:t>
      </w:r>
      <w:r>
        <w:rPr>
          <w:rFonts w:hint="eastAsia" w:ascii="仿宋_GB2312" w:hAnsi="仿宋_GB2312" w:eastAsia="仿宋_GB2312" w:cs="仿宋_GB2312"/>
          <w:color w:val="auto"/>
          <w:sz w:val="32"/>
          <w:szCs w:val="32"/>
          <w:lang w:eastAsia="zh-CN"/>
        </w:rPr>
        <w:t>行政</w:t>
      </w:r>
      <w:r>
        <w:rPr>
          <w:rFonts w:hint="default" w:ascii="仿宋_GB2312" w:hAnsi="仿宋_GB2312" w:eastAsia="仿宋_GB2312" w:cs="仿宋_GB2312"/>
          <w:color w:val="auto"/>
          <w:sz w:val="32"/>
          <w:szCs w:val="32"/>
        </w:rPr>
        <w:t>保护</w:t>
      </w:r>
      <w:r>
        <w:rPr>
          <w:rFonts w:hint="eastAsia" w:ascii="仿宋_GB2312" w:hAnsi="仿宋_GB2312" w:eastAsia="仿宋_GB2312" w:cs="仿宋_GB2312"/>
          <w:color w:val="auto"/>
          <w:sz w:val="32"/>
          <w:szCs w:val="32"/>
          <w:lang w:eastAsia="zh-CN"/>
        </w:rPr>
        <w:t>和司法保护的</w:t>
      </w:r>
      <w:r>
        <w:rPr>
          <w:rFonts w:hint="default" w:ascii="仿宋_GB2312" w:hAnsi="仿宋_GB2312" w:eastAsia="仿宋_GB2312" w:cs="仿宋_GB2312"/>
          <w:color w:val="auto"/>
          <w:sz w:val="32"/>
          <w:szCs w:val="32"/>
        </w:rPr>
        <w:t>能力和水平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打造国际一流知识产权营商环境，</w:t>
      </w:r>
      <w:r>
        <w:rPr>
          <w:rFonts w:hint="eastAsia" w:ascii="仿宋_GB2312" w:hAnsi="仿宋_GB2312" w:eastAsia="仿宋_GB2312" w:cs="仿宋_GB2312"/>
          <w:strike w:val="0"/>
          <w:color w:val="auto"/>
          <w:sz w:val="32"/>
          <w:szCs w:val="32"/>
          <w:lang w:val="en-US" w:eastAsia="zh-CN"/>
        </w:rPr>
        <w:t>为</w:t>
      </w:r>
      <w:r>
        <w:rPr>
          <w:rFonts w:hint="eastAsia" w:ascii="仿宋_GB2312" w:hAnsi="仿宋_GB2312" w:eastAsia="仿宋_GB2312" w:cs="仿宋_GB2312"/>
          <w:strike w:val="0"/>
          <w:color w:val="auto"/>
          <w:sz w:val="32"/>
          <w:szCs w:val="32"/>
        </w:rPr>
        <w:t>全面开创</w:t>
      </w:r>
      <w:r>
        <w:rPr>
          <w:rFonts w:hint="eastAsia" w:ascii="仿宋_GB2312" w:hAnsi="仿宋_GB2312" w:eastAsia="仿宋_GB2312" w:cs="仿宋_GB2312"/>
          <w:strike w:val="0"/>
          <w:color w:val="auto"/>
          <w:sz w:val="32"/>
          <w:szCs w:val="32"/>
          <w:highlight w:val="none"/>
        </w:rPr>
        <w:t>新时代现代化强市建设</w:t>
      </w:r>
      <w:r>
        <w:rPr>
          <w:rFonts w:hint="eastAsia" w:ascii="仿宋_GB2312" w:hAnsi="仿宋_GB2312" w:eastAsia="仿宋_GB2312" w:cs="仿宋_GB2312"/>
          <w:strike w:val="0"/>
          <w:color w:val="auto"/>
          <w:sz w:val="32"/>
          <w:szCs w:val="32"/>
        </w:rPr>
        <w:t>提供</w:t>
      </w:r>
      <w:r>
        <w:rPr>
          <w:rFonts w:hint="eastAsia" w:ascii="仿宋_GB2312" w:hAnsi="仿宋_GB2312" w:eastAsia="仿宋_GB2312" w:cs="仿宋_GB2312"/>
          <w:strike w:val="0"/>
          <w:dstrike w:val="0"/>
          <w:color w:val="auto"/>
          <w:sz w:val="32"/>
          <w:szCs w:val="32"/>
          <w:lang w:val="en-US" w:eastAsia="zh-CN"/>
        </w:rPr>
        <w:t>强大</w:t>
      </w:r>
      <w:r>
        <w:rPr>
          <w:rFonts w:hint="eastAsia" w:ascii="仿宋_GB2312" w:hAnsi="仿宋_GB2312" w:eastAsia="仿宋_GB2312" w:cs="仿宋_GB2312"/>
          <w:strike w:val="0"/>
          <w:color w:val="auto"/>
          <w:sz w:val="32"/>
          <w:szCs w:val="32"/>
          <w:lang w:val="en-US" w:eastAsia="zh-CN"/>
        </w:rPr>
        <w:t>知识产权</w:t>
      </w:r>
      <w:r>
        <w:rPr>
          <w:rFonts w:hint="eastAsia" w:ascii="仿宋_GB2312" w:hAnsi="仿宋_GB2312" w:eastAsia="仿宋_GB2312" w:cs="仿宋_GB2312"/>
          <w:strike w:val="0"/>
          <w:color w:val="auto"/>
          <w:sz w:val="32"/>
          <w:szCs w:val="32"/>
        </w:rPr>
        <w:t>支撑。</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bookmarkStart w:id="20" w:name="_Toc17743"/>
      <w:r>
        <w:rPr>
          <w:rStyle w:val="20"/>
          <w:rFonts w:hint="eastAsia"/>
          <w:b w:val="0"/>
          <w:bCs w:val="0"/>
          <w:color w:val="auto"/>
          <w:sz w:val="32"/>
          <w:szCs w:val="32"/>
        </w:rPr>
        <w:t>(二)基本原则。</w:t>
      </w:r>
      <w:bookmarkEnd w:id="20"/>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1.坚</w:t>
      </w:r>
      <w:r>
        <w:rPr>
          <w:rFonts w:hint="eastAsia" w:ascii="仿宋_GB2312" w:hAnsi="仿宋_GB2312" w:eastAsia="仿宋_GB2312" w:cs="仿宋_GB2312"/>
          <w:color w:val="auto"/>
          <w:kern w:val="2"/>
          <w:sz w:val="32"/>
          <w:szCs w:val="32"/>
          <w:highlight w:val="none"/>
          <w:lang w:val="en-US" w:eastAsia="zh-CN" w:bidi="ar-SA"/>
        </w:rPr>
        <w:t>持质量</w:t>
      </w:r>
      <w:r>
        <w:rPr>
          <w:rFonts w:hint="eastAsia" w:ascii="仿宋_GB2312" w:hAnsi="仿宋_GB2312" w:eastAsia="仿宋_GB2312" w:cs="仿宋_GB2312"/>
          <w:strike w:val="0"/>
          <w:dstrike w:val="0"/>
          <w:color w:val="auto"/>
          <w:kern w:val="2"/>
          <w:sz w:val="32"/>
          <w:szCs w:val="32"/>
          <w:highlight w:val="none"/>
          <w:lang w:val="en-US" w:eastAsia="zh-CN" w:bidi="ar-SA"/>
        </w:rPr>
        <w:t>优先</w:t>
      </w:r>
      <w:r>
        <w:rPr>
          <w:rFonts w:hint="eastAsia" w:ascii="仿宋_GB2312" w:hAnsi="仿宋_GB2312" w:eastAsia="仿宋_GB2312" w:cs="仿宋_GB2312"/>
          <w:color w:val="auto"/>
          <w:kern w:val="2"/>
          <w:sz w:val="32"/>
          <w:szCs w:val="32"/>
          <w:highlight w:val="none"/>
          <w:lang w:val="en-US" w:eastAsia="zh-CN" w:bidi="ar-SA"/>
        </w:rPr>
        <w:t>。把握高质量发展要求，按照“打造烟台标准、铸就烟台品牌、树立烟台信誉、提升烟台质量”的理念，坚持数量布局、质量取胜，加强核心专利布局，培育高价值专利，实施商标品牌战略，打造精品版权，提升知识产权综合实力。</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auto"/>
          <w:spacing w:val="0"/>
          <w:sz w:val="32"/>
          <w:szCs w:val="32"/>
          <w:highlight w:val="none"/>
          <w:shd w:val="clear" w:fill="FFFFFF"/>
        </w:rPr>
        <w:t>坚持市场驱动。发挥市场在创新资源配置方面的决定性作用，加强政策供给，营造公平公正、公开透明的知识产权法治环境和市场环境，激发市场主体活力，促进创新资源合理流动和高效配置。</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auto"/>
          <w:spacing w:val="0"/>
          <w:sz w:val="32"/>
          <w:szCs w:val="32"/>
          <w:highlight w:val="none"/>
          <w:shd w:val="clear" w:fill="FFFFFF"/>
        </w:rPr>
        <w:t>坚持</w:t>
      </w:r>
      <w:r>
        <w:rPr>
          <w:rFonts w:hint="eastAsia" w:ascii="仿宋_GB2312" w:hAnsi="仿宋_GB2312" w:eastAsia="仿宋_GB2312" w:cs="仿宋_GB2312"/>
          <w:i w:val="0"/>
          <w:iCs w:val="0"/>
          <w:caps w:val="0"/>
          <w:strike w:val="0"/>
          <w:dstrike w:val="0"/>
          <w:color w:val="auto"/>
          <w:spacing w:val="0"/>
          <w:sz w:val="32"/>
          <w:szCs w:val="32"/>
          <w:highlight w:val="none"/>
          <w:shd w:val="clear" w:fill="FFFFFF"/>
          <w:lang w:eastAsia="zh-CN"/>
        </w:rPr>
        <w:t>知产融合</w:t>
      </w:r>
      <w:r>
        <w:rPr>
          <w:rFonts w:hint="eastAsia" w:ascii="仿宋_GB2312" w:hAnsi="仿宋_GB2312" w:eastAsia="仿宋_GB2312" w:cs="仿宋_GB2312"/>
          <w:i w:val="0"/>
          <w:iCs w:val="0"/>
          <w:caps w:val="0"/>
          <w:color w:val="auto"/>
          <w:spacing w:val="0"/>
          <w:sz w:val="32"/>
          <w:szCs w:val="32"/>
          <w:highlight w:val="none"/>
          <w:shd w:val="clear" w:fill="FFFFFF"/>
        </w:rPr>
        <w:t>。坚持知识产权资源与产业发展深入融合，</w:t>
      </w:r>
      <w:r>
        <w:rPr>
          <w:rFonts w:hint="eastAsia" w:ascii="仿宋_GB2312" w:hAnsi="仿宋_GB2312" w:eastAsia="仿宋_GB2312" w:cs="仿宋_GB2312"/>
          <w:i w:val="0"/>
          <w:iCs w:val="0"/>
          <w:caps w:val="0"/>
          <w:strike w:val="0"/>
          <w:dstrike w:val="0"/>
          <w:color w:val="auto"/>
          <w:spacing w:val="0"/>
          <w:sz w:val="32"/>
          <w:szCs w:val="32"/>
          <w:highlight w:val="none"/>
          <w:shd w:val="clear" w:fill="FFFFFF"/>
          <w:lang w:val="en-US" w:eastAsia="zh-CN"/>
        </w:rPr>
        <w:t>围绕我市“9+N”产业群和16条重点产业链，</w:t>
      </w:r>
      <w:r>
        <w:rPr>
          <w:rFonts w:hint="eastAsia" w:ascii="仿宋_GB2312" w:hAnsi="仿宋_GB2312" w:eastAsia="仿宋_GB2312" w:cs="仿宋_GB2312"/>
          <w:i w:val="0"/>
          <w:iCs w:val="0"/>
          <w:caps w:val="0"/>
          <w:color w:val="auto"/>
          <w:spacing w:val="0"/>
          <w:sz w:val="32"/>
          <w:szCs w:val="32"/>
          <w:highlight w:val="none"/>
          <w:shd w:val="clear" w:fill="FFFFFF"/>
        </w:rPr>
        <w:t>深化知识产权政策与产业政策的衔接，实施重点产业专利导航工程，提升知识产权分析利用能力，促进知识产权成果</w:t>
      </w:r>
      <w:r>
        <w:rPr>
          <w:rFonts w:hint="eastAsia" w:ascii="仿宋_GB2312" w:hAnsi="仿宋_GB2312" w:eastAsia="仿宋_GB2312" w:cs="仿宋_GB2312"/>
          <w:i w:val="0"/>
          <w:iCs w:val="0"/>
          <w:caps w:val="0"/>
          <w:color w:val="auto"/>
          <w:spacing w:val="0"/>
          <w:sz w:val="32"/>
          <w:szCs w:val="32"/>
          <w:shd w:val="clear" w:fill="FFFFFF"/>
        </w:rPr>
        <w:t>的转化运用，推动知识产权成果</w:t>
      </w:r>
      <w:r>
        <w:rPr>
          <w:rFonts w:hint="eastAsia" w:ascii="仿宋_GB2312" w:hAnsi="仿宋_GB2312" w:eastAsia="仿宋_GB2312" w:cs="仿宋_GB2312"/>
          <w:i w:val="0"/>
          <w:iCs w:val="0"/>
          <w:caps w:val="0"/>
          <w:strike/>
          <w:dstrike w:val="0"/>
          <w:color w:val="auto"/>
          <w:spacing w:val="0"/>
          <w:sz w:val="32"/>
          <w:szCs w:val="32"/>
          <w:shd w:val="clear" w:fill="FFFFFF"/>
          <w:lang w:eastAsia="zh-CN"/>
        </w:rPr>
        <w:t>的</w:t>
      </w:r>
      <w:r>
        <w:rPr>
          <w:rFonts w:hint="eastAsia" w:ascii="仿宋_GB2312" w:hAnsi="仿宋_GB2312" w:eastAsia="仿宋_GB2312" w:cs="仿宋_GB2312"/>
          <w:i w:val="0"/>
          <w:iCs w:val="0"/>
          <w:caps w:val="0"/>
          <w:color w:val="auto"/>
          <w:spacing w:val="0"/>
          <w:sz w:val="32"/>
          <w:szCs w:val="32"/>
          <w:shd w:val="clear" w:fill="FFFFFF"/>
        </w:rPr>
        <w:t>产业化。</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textAlignment w:val="auto"/>
        <w:rPr>
          <w:rFonts w:hint="eastAsia" w:ascii="仿宋_GB2312" w:hAnsi="仿宋_GB2312" w:eastAsia="仿宋_GB2312" w:cs="仿宋_GB2312"/>
          <w:i w:val="0"/>
          <w:iCs w:val="0"/>
          <w:caps w:val="0"/>
          <w:strike w:val="0"/>
          <w:dstrike w:val="0"/>
          <w:color w:val="auto"/>
          <w:spacing w:val="0"/>
          <w:sz w:val="32"/>
          <w:szCs w:val="32"/>
          <w:highlight w:val="none"/>
          <w:shd w:val="clear" w:fill="FFFFFF"/>
          <w:lang w:eastAsia="zh-CN"/>
        </w:rPr>
      </w:pPr>
      <w:r>
        <w:rPr>
          <w:rFonts w:hint="eastAsia" w:ascii="仿宋_GB2312" w:hAnsi="仿宋_GB2312" w:eastAsia="仿宋_GB2312" w:cs="仿宋_GB2312"/>
          <w:i w:val="0"/>
          <w:iCs w:val="0"/>
          <w:caps w:val="0"/>
          <w:strike w:val="0"/>
          <w:dstrike w:val="0"/>
          <w:color w:val="auto"/>
          <w:spacing w:val="0"/>
          <w:sz w:val="32"/>
          <w:szCs w:val="32"/>
          <w:highlight w:val="none"/>
          <w:shd w:val="clear" w:fill="FFFFFF"/>
          <w:lang w:val="en-US" w:eastAsia="zh-CN"/>
        </w:rPr>
        <w:t>4.坚持严格保护。强化知识产权全链条保护，完善跨区域、跨部门知识产权“严、大、快、同”保护协同机制，综合运用法律、行政、经济、技术、社会治理等各种手段，全面提升知识产权保护能力和水平，保障创新者合法权益，促进创新要素自主有序流动。</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.坚持开放合作。加强内外联动，推动知识产权基础信息互联互通和传播利用，深化对外合作</w:t>
      </w:r>
      <w:r>
        <w:rPr>
          <w:rFonts w:hint="eastAsia" w:ascii="仿宋_GB2312" w:hAnsi="仿宋_GB2312" w:eastAsia="仿宋_GB2312" w:cs="仿宋_GB2312"/>
          <w:sz w:val="32"/>
          <w:szCs w:val="32"/>
        </w:rPr>
        <w:t>交流，构建知识产权区域协作、互惠共享的新发展格局。</w:t>
      </w:r>
    </w:p>
    <w:p>
      <w:pPr>
        <w:pStyle w:val="13"/>
        <w:keepNext w:val="0"/>
        <w:keepLines w:val="0"/>
        <w:pageBreakBefore w:val="0"/>
        <w:widowControl/>
        <w:suppressLineNumbers w:val="0"/>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Style w:val="20"/>
          <w:rFonts w:hint="eastAsia" w:ascii="楷体_GB2312" w:hAnsi="楷体_GB2312" w:eastAsia="楷体_GB2312" w:cs="楷体_GB2312"/>
          <w:b w:val="0"/>
          <w:bCs w:val="0"/>
          <w:sz w:val="32"/>
          <w:szCs w:val="32"/>
        </w:rPr>
      </w:pPr>
      <w:bookmarkStart w:id="21" w:name="_Toc3585"/>
      <w:r>
        <w:rPr>
          <w:rStyle w:val="20"/>
          <w:rFonts w:hint="eastAsia" w:ascii="楷体_GB2312" w:hAnsi="楷体_GB2312" w:eastAsia="楷体_GB2312" w:cs="楷体_GB2312"/>
          <w:b w:val="0"/>
          <w:bCs w:val="0"/>
          <w:sz w:val="32"/>
          <w:szCs w:val="32"/>
        </w:rPr>
        <w:t>(三)主要目标。</w:t>
      </w:r>
      <w:bookmarkEnd w:id="21"/>
    </w:p>
    <w:p>
      <w:pPr>
        <w:pStyle w:val="13"/>
        <w:keepNext w:val="0"/>
        <w:keepLines w:val="0"/>
        <w:pageBreakBefore w:val="0"/>
        <w:widowControl/>
        <w:suppressLineNumbers w:val="0"/>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kern w:val="2"/>
          <w:sz w:val="32"/>
          <w:szCs w:val="32"/>
          <w:lang w:val="en-US" w:eastAsia="zh-CN" w:bidi="ar-SA"/>
        </w:rPr>
        <w:t>到2025年，</w:t>
      </w:r>
      <w:r>
        <w:rPr>
          <w:rFonts w:hint="eastAsia" w:ascii="仿宋_GB2312" w:hAnsi="仿宋_GB2312" w:eastAsia="仿宋_GB2312" w:cs="仿宋_GB2312"/>
          <w:color w:val="auto"/>
          <w:sz w:val="32"/>
          <w:szCs w:val="32"/>
          <w:lang w:eastAsia="zh-CN"/>
        </w:rPr>
        <w:t>烟台市</w:t>
      </w:r>
      <w:r>
        <w:rPr>
          <w:rFonts w:hint="eastAsia" w:ascii="仿宋_GB2312" w:hAnsi="仿宋_GB2312" w:eastAsia="仿宋_GB2312" w:cs="仿宋_GB2312"/>
          <w:color w:val="auto"/>
          <w:kern w:val="2"/>
          <w:sz w:val="32"/>
          <w:szCs w:val="32"/>
          <w:lang w:val="en-US" w:eastAsia="zh-CN" w:bidi="ar-SA"/>
        </w:rPr>
        <w:t>知识产权强市建设取得明显成效，</w:t>
      </w:r>
      <w:r>
        <w:rPr>
          <w:rFonts w:hint="eastAsia" w:ascii="仿宋_GB2312" w:hAnsi="仿宋_GB2312" w:eastAsia="仿宋_GB2312" w:cs="仿宋_GB2312"/>
          <w:color w:val="auto"/>
          <w:sz w:val="32"/>
          <w:szCs w:val="32"/>
        </w:rPr>
        <w:t>知识产权综合实力全面提升，</w:t>
      </w:r>
      <w:r>
        <w:rPr>
          <w:rFonts w:hint="eastAsia" w:ascii="仿宋_GB2312" w:hAnsi="仿宋_GB2312" w:eastAsia="仿宋_GB2312" w:cs="仿宋_GB2312"/>
          <w:i w:val="0"/>
          <w:iCs w:val="0"/>
          <w:caps w:val="0"/>
          <w:strike w:val="0"/>
          <w:dstrike w:val="0"/>
          <w:color w:val="auto"/>
          <w:spacing w:val="0"/>
          <w:sz w:val="32"/>
          <w:szCs w:val="32"/>
          <w:highlight w:val="none"/>
          <w:shd w:val="clear" w:fill="FFFFFF"/>
          <w:lang w:val="en-US" w:eastAsia="zh-CN"/>
        </w:rPr>
        <w:t>基本形成贯穿高质量创新、高价值专利、高知名度商标、高效益运营、高附加值产品、高竞争力企业、高知识产权密集度产业、最严格保护“七高一最”的知识产权工作链，基本建成国内一流知识产权要素集聚高地和保护高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烟台</w:t>
      </w:r>
      <w:r>
        <w:rPr>
          <w:rFonts w:hint="eastAsia" w:ascii="仿宋_GB2312" w:hAnsi="仿宋_GB2312" w:eastAsia="仿宋_GB2312" w:cs="仿宋_GB2312"/>
          <w:color w:val="auto"/>
          <w:sz w:val="32"/>
          <w:szCs w:val="32"/>
          <w:highlight w:val="none"/>
        </w:rPr>
        <w:t>“四个城市”</w:t>
      </w:r>
      <w:r>
        <w:rPr>
          <w:rFonts w:hint="eastAsia" w:ascii="仿宋_GB2312" w:hAnsi="仿宋_GB2312" w:eastAsia="仿宋_GB2312" w:cs="仿宋_GB2312"/>
          <w:strike w:val="0"/>
          <w:dstrike w:val="0"/>
          <w:color w:val="auto"/>
          <w:sz w:val="32"/>
          <w:szCs w:val="32"/>
          <w:highlight w:val="none"/>
        </w:rPr>
        <w:t>建设</w:t>
      </w:r>
      <w:r>
        <w:rPr>
          <w:rFonts w:hint="eastAsia" w:ascii="仿宋_GB2312" w:hAnsi="仿宋_GB2312" w:eastAsia="仿宋_GB2312" w:cs="仿宋_GB2312"/>
          <w:color w:val="auto"/>
          <w:sz w:val="32"/>
          <w:szCs w:val="32"/>
          <w:highlight w:val="none"/>
        </w:rPr>
        <w:t>提供</w:t>
      </w:r>
      <w:r>
        <w:rPr>
          <w:rFonts w:hint="eastAsia" w:ascii="仿宋_GB2312" w:hAnsi="仿宋_GB2312" w:eastAsia="仿宋_GB2312" w:cs="仿宋_GB2312"/>
          <w:color w:val="auto"/>
          <w:sz w:val="32"/>
          <w:szCs w:val="32"/>
          <w:highlight w:val="none"/>
          <w:lang w:eastAsia="zh-CN"/>
        </w:rPr>
        <w:t>有力</w:t>
      </w:r>
      <w:r>
        <w:rPr>
          <w:rFonts w:hint="eastAsia" w:ascii="仿宋_GB2312" w:hAnsi="仿宋_GB2312" w:eastAsia="仿宋_GB2312" w:cs="仿宋_GB2312"/>
          <w:color w:val="auto"/>
          <w:sz w:val="32"/>
          <w:szCs w:val="32"/>
          <w:highlight w:val="none"/>
          <w:lang w:val="en-US" w:eastAsia="zh-CN"/>
        </w:rPr>
        <w:t>支撑</w:t>
      </w:r>
      <w:r>
        <w:rPr>
          <w:rFonts w:hint="eastAsia" w:ascii="仿宋_GB2312" w:hAnsi="仿宋_GB2312" w:eastAsia="仿宋_GB2312" w:cs="仿宋_GB2312"/>
          <w:color w:val="auto"/>
          <w:sz w:val="32"/>
          <w:szCs w:val="32"/>
          <w:highlight w:val="none"/>
        </w:rPr>
        <w:t>。</w:t>
      </w:r>
    </w:p>
    <w:p>
      <w:pPr>
        <w:pStyle w:val="13"/>
        <w:keepNext w:val="0"/>
        <w:keepLines w:val="0"/>
        <w:pageBreakBefore w:val="0"/>
        <w:widowControl/>
        <w:suppressLineNumbers w:val="0"/>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auto"/>
          <w:kern w:val="2"/>
          <w:sz w:val="32"/>
          <w:szCs w:val="32"/>
          <w:highlight w:val="yellow"/>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1.知识产权产出质量进一步提高。</w:t>
      </w:r>
      <w:r>
        <w:rPr>
          <w:rFonts w:hint="eastAsia" w:ascii="仿宋_GB2312" w:hAnsi="仿宋_GB2312" w:eastAsia="仿宋_GB2312" w:cs="仿宋_GB2312"/>
          <w:color w:val="auto"/>
          <w:kern w:val="2"/>
          <w:sz w:val="32"/>
          <w:szCs w:val="32"/>
          <w:lang w:val="en-US" w:eastAsia="zh-CN" w:bidi="ar-SA"/>
        </w:rPr>
        <w:t>创新成果产权化水平大幅提升，高价值专利、商标、版权、地理标志、商业秘密、集成电路布图设计等知识产权数量明显增加，</w:t>
      </w:r>
      <w:r>
        <w:rPr>
          <w:rFonts w:hint="default" w:ascii="仿宋_GB2312" w:hAnsi="仿宋_GB2312" w:eastAsia="仿宋_GB2312" w:cs="仿宋_GB2312"/>
          <w:color w:val="auto"/>
          <w:kern w:val="2"/>
          <w:sz w:val="32"/>
          <w:szCs w:val="32"/>
          <w:lang w:val="en-US" w:eastAsia="zh-CN" w:bidi="ar-SA"/>
        </w:rPr>
        <w:t>关键领域自主知识产权创造和储备极大丰富</w:t>
      </w:r>
      <w:r>
        <w:rPr>
          <w:rFonts w:hint="eastAsia" w:ascii="仿宋_GB2312" w:hAnsi="仿宋_GB2312" w:eastAsia="仿宋_GB2312" w:cs="仿宋_GB2312"/>
          <w:color w:val="auto"/>
          <w:kern w:val="2"/>
          <w:sz w:val="32"/>
          <w:szCs w:val="32"/>
          <w:lang w:val="en-US" w:eastAsia="zh-CN" w:bidi="ar-SA"/>
        </w:rPr>
        <w:t>。到2025年底，万人高价值发明专利拥有量达到10件，</w:t>
      </w:r>
      <w:r>
        <w:rPr>
          <w:rFonts w:hint="eastAsia" w:ascii="仿宋_GB2312" w:hAnsi="仿宋_GB2312" w:eastAsia="仿宋_GB2312" w:cs="仿宋_GB2312"/>
          <w:color w:val="auto"/>
          <w:kern w:val="2"/>
          <w:sz w:val="32"/>
          <w:szCs w:val="32"/>
          <w:highlight w:val="none"/>
          <w:lang w:val="en-US" w:eastAsia="zh-CN" w:bidi="ar-SA"/>
        </w:rPr>
        <w:t>海外发明专利授权量达到280件，有效注册商标量13.78万件。</w:t>
      </w:r>
      <w:bookmarkStart w:id="22" w:name="_Toc15517"/>
    </w:p>
    <w:p>
      <w:pPr>
        <w:pStyle w:val="13"/>
        <w:keepNext w:val="0"/>
        <w:keepLines w:val="0"/>
        <w:pageBreakBefore w:val="0"/>
        <w:widowControl/>
        <w:suppressLineNumbers w:val="0"/>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lang w:eastAsia="zh-CN"/>
        </w:rPr>
      </w:pPr>
      <w:r>
        <w:rPr>
          <w:rStyle w:val="23"/>
          <w:rFonts w:hint="eastAsia" w:eastAsia="仿宋_GB2312"/>
          <w:b w:val="0"/>
          <w:bCs w:val="0"/>
          <w:strike w:val="0"/>
          <w:dstrike w:val="0"/>
          <w:color w:val="auto"/>
          <w:sz w:val="32"/>
          <w:szCs w:val="32"/>
          <w:highlight w:val="none"/>
          <w:lang w:val="en-US" w:eastAsia="zh-CN"/>
        </w:rPr>
        <w:t>2</w:t>
      </w:r>
      <w:r>
        <w:rPr>
          <w:rStyle w:val="23"/>
          <w:rFonts w:hint="eastAsia"/>
          <w:b w:val="0"/>
          <w:bCs w:val="0"/>
          <w:strike w:val="0"/>
          <w:dstrike w:val="0"/>
          <w:color w:val="auto"/>
          <w:sz w:val="32"/>
          <w:szCs w:val="32"/>
          <w:highlight w:val="none"/>
        </w:rPr>
        <w:t>.知识产权保护环境进一步优化</w:t>
      </w:r>
      <w:bookmarkEnd w:id="22"/>
      <w:r>
        <w:rPr>
          <w:rStyle w:val="23"/>
          <w:rFonts w:hint="eastAsia" w:eastAsia="仿宋_GB2312"/>
          <w:b w:val="0"/>
          <w:bCs w:val="0"/>
          <w:strike w:val="0"/>
          <w:dstrike w:val="0"/>
          <w:color w:val="auto"/>
          <w:sz w:val="32"/>
          <w:szCs w:val="32"/>
          <w:highlight w:val="none"/>
          <w:lang w:eastAsia="zh-CN"/>
        </w:rPr>
        <w:t>。</w:t>
      </w:r>
      <w:bookmarkStart w:id="23" w:name="_Toc31588"/>
      <w:r>
        <w:rPr>
          <w:rFonts w:hint="eastAsia" w:ascii="仿宋_GB2312" w:hAnsi="仿宋_GB2312" w:eastAsia="仿宋_GB2312" w:cs="仿宋_GB2312"/>
          <w:strike w:val="0"/>
          <w:dstrike w:val="0"/>
          <w:color w:val="auto"/>
          <w:sz w:val="32"/>
          <w:szCs w:val="32"/>
          <w:highlight w:val="none"/>
        </w:rPr>
        <w:t>知识产权保护法治化水平</w:t>
      </w:r>
      <w:r>
        <w:rPr>
          <w:rFonts w:hint="eastAsia" w:ascii="仿宋_GB2312" w:hAnsi="仿宋_GB2312" w:eastAsia="仿宋_GB2312" w:cs="仿宋_GB2312"/>
          <w:strike w:val="0"/>
          <w:dstrike w:val="0"/>
          <w:color w:val="auto"/>
          <w:sz w:val="32"/>
          <w:szCs w:val="32"/>
          <w:highlight w:val="none"/>
          <w:lang w:eastAsia="zh-CN"/>
        </w:rPr>
        <w:t>进一步</w:t>
      </w:r>
      <w:r>
        <w:rPr>
          <w:rFonts w:hint="eastAsia" w:ascii="仿宋_GB2312" w:hAnsi="仿宋_GB2312" w:eastAsia="仿宋_GB2312" w:cs="仿宋_GB2312"/>
          <w:strike w:val="0"/>
          <w:dstrike w:val="0"/>
          <w:color w:val="auto"/>
          <w:sz w:val="32"/>
          <w:szCs w:val="32"/>
          <w:highlight w:val="none"/>
        </w:rPr>
        <w:t>提高，知识产权</w:t>
      </w:r>
      <w:r>
        <w:rPr>
          <w:rFonts w:hint="eastAsia" w:ascii="仿宋_GB2312" w:hAnsi="仿宋_GB2312" w:eastAsia="仿宋_GB2312" w:cs="仿宋_GB2312"/>
          <w:strike w:val="0"/>
          <w:dstrike w:val="0"/>
          <w:color w:val="auto"/>
          <w:sz w:val="32"/>
          <w:szCs w:val="32"/>
          <w:highlight w:val="none"/>
          <w:lang w:eastAsia="zh-CN"/>
        </w:rPr>
        <w:t>跨部门、跨区域</w:t>
      </w:r>
      <w:r>
        <w:rPr>
          <w:rFonts w:hint="eastAsia" w:ascii="仿宋_GB2312" w:hAnsi="仿宋_GB2312" w:eastAsia="仿宋_GB2312" w:cs="仿宋_GB2312"/>
          <w:strike w:val="0"/>
          <w:dstrike w:val="0"/>
          <w:color w:val="auto"/>
          <w:sz w:val="32"/>
          <w:szCs w:val="32"/>
          <w:highlight w:val="none"/>
        </w:rPr>
        <w:t>保护衔接机制更加完善，</w:t>
      </w:r>
      <w:r>
        <w:rPr>
          <w:rFonts w:hint="default" w:ascii="仿宋_GB2312" w:hAnsi="仿宋_GB2312" w:eastAsia="仿宋_GB2312" w:cs="仿宋_GB2312"/>
          <w:strike w:val="0"/>
          <w:dstrike w:val="0"/>
          <w:color w:val="auto"/>
          <w:sz w:val="32"/>
          <w:szCs w:val="32"/>
          <w:highlight w:val="none"/>
        </w:rPr>
        <w:t>行政执法、司法保护、仲裁调解、行业自律、公民诚信协同配合的知识产权保护体系</w:t>
      </w:r>
      <w:r>
        <w:rPr>
          <w:rFonts w:hint="eastAsia" w:ascii="仿宋_GB2312" w:hAnsi="仿宋_GB2312" w:eastAsia="仿宋_GB2312" w:cs="仿宋_GB2312"/>
          <w:strike w:val="0"/>
          <w:dstrike w:val="0"/>
          <w:color w:val="auto"/>
          <w:sz w:val="32"/>
          <w:szCs w:val="32"/>
          <w:highlight w:val="none"/>
          <w:lang w:eastAsia="zh-CN"/>
        </w:rPr>
        <w:t>建设更加系统</w:t>
      </w:r>
      <w:r>
        <w:rPr>
          <w:rFonts w:hint="default" w:ascii="仿宋_GB2312" w:hAnsi="仿宋_GB2312" w:eastAsia="仿宋_GB2312" w:cs="仿宋_GB2312"/>
          <w:strike w:val="0"/>
          <w:dstrike w:val="0"/>
          <w:color w:val="auto"/>
          <w:sz w:val="32"/>
          <w:szCs w:val="32"/>
          <w:highlight w:val="none"/>
        </w:rPr>
        <w:t>，</w:t>
      </w:r>
      <w:r>
        <w:rPr>
          <w:rFonts w:hint="eastAsia" w:ascii="仿宋_GB2312" w:hAnsi="仿宋_GB2312" w:eastAsia="仿宋_GB2312" w:cs="仿宋_GB2312"/>
          <w:strike w:val="0"/>
          <w:dstrike w:val="0"/>
          <w:color w:val="auto"/>
          <w:sz w:val="32"/>
          <w:szCs w:val="32"/>
          <w:highlight w:val="none"/>
        </w:rPr>
        <w:t>侵权易发多发现象得到有效遏制，</w:t>
      </w:r>
      <w:r>
        <w:rPr>
          <w:rFonts w:hint="eastAsia" w:ascii="仿宋_GB2312" w:hAnsi="仿宋_GB2312" w:eastAsia="仿宋_GB2312" w:cs="仿宋_GB2312"/>
          <w:color w:val="auto"/>
          <w:kern w:val="0"/>
          <w:sz w:val="32"/>
          <w:szCs w:val="32"/>
          <w:lang w:val="en-US" w:eastAsia="zh-CN" w:bidi="ar"/>
        </w:rPr>
        <w:t>知识产权行政保护和司法保护能力不断提高，到</w:t>
      </w:r>
      <w:r>
        <w:rPr>
          <w:rFonts w:hint="default" w:ascii="仿宋_GB2312" w:hAnsi="仿宋_GB2312" w:eastAsia="仿宋_GB2312" w:cs="仿宋_GB2312"/>
          <w:color w:val="auto"/>
          <w:kern w:val="0"/>
          <w:sz w:val="32"/>
          <w:szCs w:val="32"/>
          <w:lang w:val="en-US" w:eastAsia="zh-CN" w:bidi="ar"/>
        </w:rPr>
        <w:t>2025</w:t>
      </w:r>
      <w:r>
        <w:rPr>
          <w:rFonts w:hint="eastAsia" w:ascii="仿宋_GB2312" w:hAnsi="仿宋_GB2312" w:eastAsia="仿宋_GB2312" w:cs="仿宋_GB2312"/>
          <w:color w:val="auto"/>
          <w:kern w:val="0"/>
          <w:sz w:val="32"/>
          <w:szCs w:val="32"/>
          <w:lang w:val="en-US" w:eastAsia="zh-CN" w:bidi="ar"/>
        </w:rPr>
        <w:t>年，</w:t>
      </w:r>
      <w:r>
        <w:rPr>
          <w:rFonts w:hint="eastAsia" w:ascii="仿宋_GB2312" w:hAnsi="仿宋_GB2312" w:eastAsia="仿宋_GB2312" w:cs="仿宋_GB2312"/>
          <w:strike w:val="0"/>
          <w:dstrike w:val="0"/>
          <w:color w:val="auto"/>
          <w:sz w:val="32"/>
          <w:szCs w:val="32"/>
          <w:highlight w:val="none"/>
        </w:rPr>
        <w:t>全社会知识产权保护意识强烈，知识产权保护社会满意度显著提升</w:t>
      </w:r>
      <w:r>
        <w:rPr>
          <w:rFonts w:hint="eastAsia" w:ascii="仿宋_GB2312" w:hAnsi="仿宋_GB2312" w:eastAsia="仿宋_GB2312" w:cs="仿宋_GB2312"/>
          <w:b w:val="0"/>
          <w:bCs w:val="0"/>
          <w:strike w:val="0"/>
          <w:dstrike w:val="0"/>
          <w:color w:val="auto"/>
          <w:sz w:val="32"/>
          <w:szCs w:val="32"/>
          <w:highlight w:val="none"/>
          <w:lang w:eastAsia="zh-CN"/>
        </w:rPr>
        <w:t>。</w:t>
      </w:r>
    </w:p>
    <w:p>
      <w:pPr>
        <w:pStyle w:val="13"/>
        <w:keepNext w:val="0"/>
        <w:keepLines w:val="0"/>
        <w:pageBreakBefore w:val="0"/>
        <w:widowControl/>
        <w:suppressLineNumbers w:val="0"/>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Style w:val="23"/>
          <w:rFonts w:hint="eastAsia" w:eastAsia="仿宋_GB2312"/>
          <w:b w:val="0"/>
          <w:bCs w:val="0"/>
          <w:strike w:val="0"/>
          <w:dstrike w:val="0"/>
          <w:color w:val="auto"/>
          <w:sz w:val="32"/>
          <w:szCs w:val="32"/>
          <w:highlight w:val="none"/>
          <w:lang w:val="en-US" w:eastAsia="zh-CN"/>
        </w:rPr>
        <w:t>3</w:t>
      </w:r>
      <w:r>
        <w:rPr>
          <w:rStyle w:val="23"/>
          <w:rFonts w:hint="eastAsia"/>
          <w:b w:val="0"/>
          <w:bCs w:val="0"/>
          <w:strike w:val="0"/>
          <w:dstrike w:val="0"/>
          <w:color w:val="auto"/>
          <w:sz w:val="32"/>
          <w:szCs w:val="32"/>
          <w:highlight w:val="none"/>
        </w:rPr>
        <w:t>.知识产权运用效益进一步增强。</w:t>
      </w:r>
      <w:bookmarkEnd w:id="23"/>
      <w:r>
        <w:rPr>
          <w:rFonts w:hint="eastAsia" w:ascii="仿宋_GB2312" w:hAnsi="仿宋_GB2312" w:eastAsia="仿宋_GB2312" w:cs="仿宋_GB2312"/>
          <w:b w:val="0"/>
          <w:bCs w:val="0"/>
          <w:strike w:val="0"/>
          <w:dstrike w:val="0"/>
          <w:color w:val="auto"/>
          <w:sz w:val="32"/>
          <w:szCs w:val="32"/>
          <w:highlight w:val="none"/>
        </w:rPr>
        <w:t>完善知识产权运营服务体系，创新知识产权运营机制，畅通知识产权转移转化渠道。</w:t>
      </w:r>
      <w:r>
        <w:rPr>
          <w:rFonts w:hint="eastAsia" w:ascii="仿宋_GB2312" w:hAnsi="仿宋_GB2312" w:eastAsia="仿宋_GB2312" w:cs="仿宋_GB2312"/>
          <w:b w:val="0"/>
          <w:bCs w:val="0"/>
          <w:color w:val="auto"/>
          <w:kern w:val="0"/>
          <w:sz w:val="32"/>
          <w:szCs w:val="32"/>
          <w:lang w:val="en-US" w:eastAsia="zh-CN" w:bidi="ar"/>
        </w:rPr>
        <w:t>到</w:t>
      </w:r>
      <w:r>
        <w:rPr>
          <w:rFonts w:hint="default" w:ascii="仿宋_GB2312" w:hAnsi="仿宋_GB2312" w:eastAsia="仿宋_GB2312" w:cs="仿宋_GB2312"/>
          <w:b w:val="0"/>
          <w:bCs w:val="0"/>
          <w:color w:val="auto"/>
          <w:kern w:val="0"/>
          <w:sz w:val="32"/>
          <w:szCs w:val="32"/>
          <w:lang w:val="en-US" w:eastAsia="zh-CN" w:bidi="ar"/>
        </w:rPr>
        <w:t>2025</w:t>
      </w:r>
      <w:r>
        <w:rPr>
          <w:rFonts w:hint="eastAsia" w:ascii="仿宋_GB2312" w:hAnsi="仿宋_GB2312" w:eastAsia="仿宋_GB2312" w:cs="仿宋_GB2312"/>
          <w:b w:val="0"/>
          <w:bCs w:val="0"/>
          <w:color w:val="auto"/>
          <w:kern w:val="0"/>
          <w:sz w:val="32"/>
          <w:szCs w:val="32"/>
          <w:lang w:val="en-US" w:eastAsia="zh-CN" w:bidi="ar"/>
        </w:rPr>
        <w:t>年，创新主体专利产业化比例和效益大幅提高，专利标准化数量大幅增加，专利密集型产业增加值占GDP比重明显提升。知识产权质押融资登记数量和金额持续增长，有效支撑经济高质量发展。</w:t>
      </w:r>
      <w:bookmarkStart w:id="24" w:name="_Toc28971"/>
    </w:p>
    <w:p>
      <w:pPr>
        <w:pStyle w:val="13"/>
        <w:keepNext w:val="0"/>
        <w:keepLines w:val="0"/>
        <w:pageBreakBefore w:val="0"/>
        <w:widowControl/>
        <w:suppressLineNumbers w:val="0"/>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b w:val="0"/>
          <w:bCs w:val="0"/>
          <w:color w:val="FF0000"/>
          <w:sz w:val="32"/>
          <w:szCs w:val="32"/>
          <w:highlight w:val="yellow"/>
          <w:lang w:eastAsia="zh-CN"/>
        </w:rPr>
      </w:pPr>
      <w:r>
        <w:rPr>
          <w:rStyle w:val="23"/>
          <w:rFonts w:hint="eastAsia" w:eastAsia="仿宋_GB2312"/>
          <w:b w:val="0"/>
          <w:bCs w:val="0"/>
          <w:strike w:val="0"/>
          <w:dstrike w:val="0"/>
          <w:color w:val="auto"/>
          <w:sz w:val="32"/>
          <w:szCs w:val="32"/>
          <w:highlight w:val="none"/>
          <w:lang w:val="en-US" w:eastAsia="zh-CN"/>
        </w:rPr>
        <w:t>4</w:t>
      </w:r>
      <w:r>
        <w:rPr>
          <w:rStyle w:val="23"/>
          <w:rFonts w:hint="eastAsia"/>
          <w:b w:val="0"/>
          <w:bCs w:val="0"/>
          <w:strike w:val="0"/>
          <w:dstrike w:val="0"/>
          <w:color w:val="auto"/>
          <w:sz w:val="32"/>
          <w:szCs w:val="32"/>
          <w:highlight w:val="none"/>
        </w:rPr>
        <w:t>.知识产权服务水平进一步提升。</w:t>
      </w:r>
      <w:bookmarkEnd w:id="24"/>
      <w:r>
        <w:rPr>
          <w:rFonts w:hint="eastAsia" w:ascii="仿宋_GB2312" w:hAnsi="仿宋_GB2312" w:eastAsia="仿宋_GB2312" w:cs="仿宋_GB2312"/>
          <w:b w:val="0"/>
          <w:bCs w:val="0"/>
          <w:color w:val="auto"/>
          <w:kern w:val="0"/>
          <w:sz w:val="32"/>
          <w:szCs w:val="32"/>
          <w:lang w:val="en-US" w:eastAsia="zh-CN" w:bidi="ar"/>
        </w:rPr>
        <w:t>搭建功能完备、服务优质、覆盖全市的知识产权公共服务平台，形成一批专业化、规模化、品牌化的知识产权社会化服务机构，知识产权从业人员服务水平大幅提升，知识产权高层次人才队伍不断壮大，知识产权服务业营业收入快速增长。</w:t>
      </w:r>
      <w:r>
        <w:rPr>
          <w:rFonts w:hint="eastAsia" w:ascii="仿宋_GB2312" w:hAnsi="宋体" w:eastAsia="仿宋_GB2312" w:cs="仿宋_GB2312"/>
          <w:b w:val="0"/>
          <w:bCs w:val="0"/>
          <w:color w:val="000000" w:themeColor="text1"/>
          <w:kern w:val="0"/>
          <w:sz w:val="31"/>
          <w:szCs w:val="31"/>
          <w:lang w:val="en-US" w:eastAsia="zh-CN" w:bidi="ar"/>
          <w14:textFill>
            <w14:solidFill>
              <w14:schemeClr w14:val="tx1"/>
            </w14:solidFill>
          </w14:textFill>
        </w:rPr>
        <w:t xml:space="preserve"> </w:t>
      </w:r>
    </w:p>
    <w:p>
      <w:pPr>
        <w:keepNext w:val="0"/>
        <w:keepLines w:val="0"/>
        <w:pageBreakBefore w:val="0"/>
        <w:widowControl/>
        <w:suppressLineNumbers w:val="0"/>
        <w:kinsoku/>
        <w:wordWrap/>
        <w:overflowPunct/>
        <w:autoSpaceDE/>
        <w:autoSpaceDN/>
        <w:bidi w:val="0"/>
        <w:spacing w:beforeAutospacing="0" w:afterAutospacing="0" w:line="240" w:lineRule="auto"/>
        <w:ind w:firstLine="640" w:firstLineChars="200"/>
        <w:jc w:val="both"/>
        <w:textAlignment w:val="auto"/>
        <w:rPr>
          <w:rFonts w:hint="default" w:eastAsiaTheme="minorEastAsia"/>
          <w:b w:val="0"/>
          <w:bCs w:val="0"/>
          <w:color w:val="auto"/>
          <w:highlight w:val="none"/>
          <w:lang w:val="en-US" w:eastAsia="zh-CN"/>
        </w:rPr>
      </w:pPr>
      <w:r>
        <w:rPr>
          <w:rFonts w:hint="eastAsia" w:ascii="仿宋_GB2312" w:hAnsi="仿宋_GB2312" w:eastAsia="仿宋_GB2312" w:cs="仿宋_GB2312"/>
          <w:b w:val="0"/>
          <w:bCs w:val="0"/>
          <w:color w:val="auto"/>
          <w:kern w:val="0"/>
          <w:sz w:val="32"/>
          <w:szCs w:val="32"/>
          <w:lang w:val="en-US" w:eastAsia="zh-CN" w:bidi="ar"/>
        </w:rPr>
        <w:t>5.知识产权管理进一步完善。健全知识产权综合管理体制，构建权责一致、执行顺畅、监督有力的行政管理体制。企事业单位知识产权管理能力显著增强，培育一批管理水平较高的国家和省市知识产权优势示范</w:t>
      </w:r>
      <w:r>
        <w:rPr>
          <w:rFonts w:hint="eastAsia" w:ascii="仿宋_GB2312" w:hAnsi="仿宋_GB2312" w:eastAsia="仿宋_GB2312" w:cs="仿宋_GB2312"/>
          <w:b w:val="0"/>
          <w:bCs w:val="0"/>
          <w:color w:val="auto"/>
          <w:kern w:val="0"/>
          <w:sz w:val="32"/>
          <w:szCs w:val="32"/>
          <w:highlight w:val="none"/>
          <w:lang w:val="en-US" w:eastAsia="zh-CN" w:bidi="ar"/>
        </w:rPr>
        <w:t>企业。</w:t>
      </w:r>
      <w:r>
        <w:rPr>
          <w:rFonts w:hint="eastAsia" w:ascii="仿宋_GB2312" w:hAnsi="仿宋_GB2312" w:eastAsia="仿宋_GB2312" w:cs="仿宋_GB2312"/>
          <w:b w:val="0"/>
          <w:bCs w:val="0"/>
          <w:color w:val="auto"/>
          <w:kern w:val="0"/>
          <w:sz w:val="32"/>
          <w:szCs w:val="32"/>
          <w:highlight w:val="none"/>
          <w:lang w:val="en-US" w:eastAsia="zh-CN" w:bidi="ar"/>
        </w:rPr>
        <w:t>到</w:t>
      </w:r>
      <w:r>
        <w:rPr>
          <w:rFonts w:hint="default" w:ascii="仿宋_GB2312" w:hAnsi="仿宋_GB2312" w:eastAsia="仿宋_GB2312" w:cs="仿宋_GB2312"/>
          <w:b w:val="0"/>
          <w:bCs w:val="0"/>
          <w:color w:val="auto"/>
          <w:kern w:val="0"/>
          <w:sz w:val="32"/>
          <w:szCs w:val="32"/>
          <w:highlight w:val="none"/>
          <w:lang w:val="en-US" w:eastAsia="zh-CN" w:bidi="ar"/>
        </w:rPr>
        <w:t>2025</w:t>
      </w:r>
      <w:r>
        <w:rPr>
          <w:rFonts w:hint="eastAsia" w:ascii="仿宋_GB2312" w:hAnsi="仿宋_GB2312" w:eastAsia="仿宋_GB2312" w:cs="仿宋_GB2312"/>
          <w:b w:val="0"/>
          <w:bCs w:val="0"/>
          <w:color w:val="auto"/>
          <w:kern w:val="0"/>
          <w:sz w:val="32"/>
          <w:szCs w:val="32"/>
          <w:highlight w:val="none"/>
          <w:lang w:val="en-US" w:eastAsia="zh-CN" w:bidi="ar"/>
        </w:rPr>
        <w:t>年，全市通过知识产权贯标的企业达到400家，培育市知识产权优势企业150家。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华文楷体" w:hAnsi="华文楷体" w:eastAsia="华文楷体" w:cs="华文楷体"/>
          <w:sz w:val="28"/>
          <w:szCs w:val="28"/>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烟台市“十四五”知识产权强市战略发展主要指标</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0"/>
        <w:gridCol w:w="855"/>
        <w:gridCol w:w="1961"/>
        <w:gridCol w:w="1912"/>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指  标</w:t>
            </w:r>
          </w:p>
        </w:tc>
        <w:tc>
          <w:tcPr>
            <w:tcW w:w="855" w:type="dxa"/>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单位</w:t>
            </w:r>
          </w:p>
        </w:tc>
        <w:tc>
          <w:tcPr>
            <w:tcW w:w="1961" w:type="dxa"/>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2020年基期值</w:t>
            </w:r>
          </w:p>
        </w:tc>
        <w:tc>
          <w:tcPr>
            <w:tcW w:w="1912" w:type="dxa"/>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2025年预期值</w:t>
            </w:r>
          </w:p>
        </w:tc>
        <w:tc>
          <w:tcPr>
            <w:tcW w:w="1074" w:type="dxa"/>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属 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每万人口高价值发明专利拥有量</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件</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4.06</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海外发明专利授权量</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件</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280</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有效注册商标量</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万件</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10.6</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13.78</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知识产权质押登记项目数及金额年均增长率</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≥30</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专利密集型产业增加值占GDP比重</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12</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版权产业的行业增加值占GDP比重</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6.5</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知识产权保护社会满意度</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分</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≥90</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知识产权民事案件一审服判息诉率</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6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w:t>
            </w:r>
          </w:p>
        </w:tc>
        <w:tc>
          <w:tcPr>
            <w:tcW w:w="191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≥75</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预期性</w:t>
            </w:r>
          </w:p>
        </w:tc>
      </w:tr>
    </w:tbl>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outlineLvl w:val="0"/>
        <w:rPr>
          <w:rStyle w:val="25"/>
          <w:rFonts w:hint="eastAsia"/>
          <w:b w:val="0"/>
          <w:bCs w:val="0"/>
          <w:color w:val="auto"/>
        </w:rPr>
      </w:pPr>
      <w:bookmarkStart w:id="25" w:name="_Toc4610"/>
      <w:r>
        <w:rPr>
          <w:rStyle w:val="25"/>
          <w:rFonts w:hint="eastAsia" w:eastAsia="黑体"/>
          <w:b w:val="0"/>
          <w:bCs w:val="0"/>
          <w:strike w:val="0"/>
          <w:dstrike w:val="0"/>
          <w:color w:val="auto"/>
          <w:lang w:eastAsia="zh-CN"/>
        </w:rPr>
        <w:t>四</w:t>
      </w:r>
      <w:r>
        <w:rPr>
          <w:rStyle w:val="25"/>
          <w:rFonts w:hint="eastAsia"/>
          <w:b w:val="0"/>
          <w:bCs w:val="0"/>
          <w:strike w:val="0"/>
          <w:dstrike w:val="0"/>
          <w:color w:val="auto"/>
        </w:rPr>
        <w:t>、</w:t>
      </w:r>
      <w:r>
        <w:rPr>
          <w:rStyle w:val="25"/>
          <w:rFonts w:hint="eastAsia"/>
          <w:b w:val="0"/>
          <w:bCs w:val="0"/>
          <w:color w:val="auto"/>
        </w:rPr>
        <w:t>主要任务</w:t>
      </w:r>
      <w:bookmarkEnd w:id="25"/>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outlineLvl w:val="1"/>
        <w:rPr>
          <w:rFonts w:hint="eastAsia" w:ascii="仿宋_GB2312" w:hAnsi="仿宋_GB2312" w:eastAsia="楷体" w:cs="仿宋_GB2312"/>
          <w:b w:val="0"/>
          <w:bCs w:val="0"/>
          <w:color w:val="auto"/>
          <w:sz w:val="32"/>
          <w:szCs w:val="32"/>
          <w:highlight w:val="yellow"/>
          <w:lang w:eastAsia="zh-CN"/>
        </w:rPr>
      </w:pPr>
      <w:bookmarkStart w:id="26" w:name="_Toc28948"/>
      <w:r>
        <w:rPr>
          <w:rStyle w:val="20"/>
          <w:rFonts w:hint="eastAsia"/>
          <w:b w:val="0"/>
          <w:bCs w:val="0"/>
          <w:color w:val="auto"/>
          <w:sz w:val="32"/>
          <w:szCs w:val="32"/>
        </w:rPr>
        <w:t>(</w:t>
      </w:r>
      <w:r>
        <w:rPr>
          <w:rStyle w:val="20"/>
          <w:rFonts w:hint="eastAsia"/>
          <w:b w:val="0"/>
          <w:bCs w:val="0"/>
          <w:color w:val="auto"/>
          <w:sz w:val="32"/>
          <w:szCs w:val="32"/>
          <w:lang w:val="en-US" w:eastAsia="zh-CN"/>
        </w:rPr>
        <w:t>一</w:t>
      </w:r>
      <w:r>
        <w:rPr>
          <w:rStyle w:val="20"/>
          <w:rFonts w:hint="eastAsia"/>
          <w:b w:val="0"/>
          <w:bCs w:val="0"/>
          <w:color w:val="auto"/>
          <w:sz w:val="32"/>
          <w:szCs w:val="32"/>
        </w:rPr>
        <w:t>)</w:t>
      </w:r>
      <w:r>
        <w:rPr>
          <w:rStyle w:val="20"/>
          <w:rFonts w:hint="eastAsia"/>
          <w:b w:val="0"/>
          <w:bCs w:val="0"/>
          <w:color w:val="auto"/>
          <w:sz w:val="32"/>
          <w:szCs w:val="32"/>
          <w:lang w:val="en-US" w:eastAsia="zh-CN"/>
        </w:rPr>
        <w:t>高标准强化</w:t>
      </w:r>
      <w:r>
        <w:rPr>
          <w:rStyle w:val="20"/>
          <w:rFonts w:hint="eastAsia"/>
          <w:b w:val="0"/>
          <w:bCs w:val="0"/>
          <w:color w:val="auto"/>
          <w:sz w:val="32"/>
          <w:szCs w:val="32"/>
        </w:rPr>
        <w:t>知识产权保护</w:t>
      </w:r>
      <w:r>
        <w:rPr>
          <w:rStyle w:val="20"/>
          <w:rFonts w:hint="eastAsia"/>
          <w:b w:val="0"/>
          <w:bCs w:val="0"/>
          <w:color w:val="auto"/>
          <w:sz w:val="32"/>
          <w:szCs w:val="32"/>
          <w:lang w:eastAsia="zh-CN"/>
        </w:rPr>
        <w:t>，</w:t>
      </w:r>
      <w:r>
        <w:rPr>
          <w:rStyle w:val="20"/>
          <w:rFonts w:hint="eastAsia"/>
          <w:b w:val="0"/>
          <w:bCs w:val="0"/>
          <w:color w:val="auto"/>
          <w:sz w:val="32"/>
          <w:szCs w:val="32"/>
          <w:lang w:val="en-US" w:eastAsia="zh-CN"/>
        </w:rPr>
        <w:t>优化营商环境</w:t>
      </w:r>
      <w:r>
        <w:rPr>
          <w:rStyle w:val="20"/>
          <w:rFonts w:hint="eastAsia"/>
          <w:b w:val="0"/>
          <w:bCs w:val="0"/>
          <w:color w:val="auto"/>
          <w:sz w:val="32"/>
          <w:szCs w:val="32"/>
        </w:rPr>
        <w:t>。</w:t>
      </w:r>
      <w:bookmarkEnd w:id="26"/>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bCs w:val="0"/>
          <w:color w:val="auto"/>
          <w:sz w:val="32"/>
          <w:szCs w:val="32"/>
        </w:rPr>
      </w:pPr>
      <w:bookmarkStart w:id="27" w:name="_Toc25275"/>
      <w:r>
        <w:rPr>
          <w:rStyle w:val="23"/>
          <w:rFonts w:hint="eastAsia"/>
          <w:b w:val="0"/>
          <w:bCs w:val="0"/>
          <w:color w:val="auto"/>
          <w:sz w:val="32"/>
          <w:szCs w:val="32"/>
          <w:lang w:val="en-US" w:eastAsia="zh-CN"/>
        </w:rPr>
        <w:t>1.</w:t>
      </w:r>
      <w:r>
        <w:rPr>
          <w:rStyle w:val="23"/>
          <w:rFonts w:hint="eastAsia"/>
          <w:b w:val="0"/>
          <w:bCs w:val="0"/>
          <w:color w:val="auto"/>
          <w:sz w:val="32"/>
          <w:szCs w:val="32"/>
        </w:rPr>
        <w:t>完善知识产权政策体系</w:t>
      </w:r>
      <w:r>
        <w:rPr>
          <w:rStyle w:val="23"/>
          <w:rFonts w:hint="eastAsia"/>
          <w:b w:val="0"/>
          <w:bCs w:val="0"/>
          <w:color w:val="auto"/>
          <w:sz w:val="32"/>
          <w:szCs w:val="32"/>
        </w:rPr>
        <w:t>。</w:t>
      </w:r>
      <w:bookmarkEnd w:id="27"/>
      <w:r>
        <w:rPr>
          <w:rFonts w:hint="eastAsia" w:ascii="仿宋_GB2312" w:hAnsi="仿宋_GB2312" w:eastAsia="仿宋_GB2312" w:cs="仿宋_GB2312"/>
          <w:color w:val="auto"/>
          <w:sz w:val="32"/>
          <w:szCs w:val="32"/>
        </w:rPr>
        <w:t>完善知识产权保护政策，</w:t>
      </w:r>
      <w:r>
        <w:rPr>
          <w:rFonts w:hint="eastAsia" w:ascii="仿宋_GB2312" w:hAnsi="仿宋_GB2312" w:eastAsia="仿宋_GB2312" w:cs="仿宋_GB2312"/>
          <w:color w:val="auto"/>
          <w:sz w:val="32"/>
          <w:szCs w:val="32"/>
          <w:lang w:eastAsia="zh-CN"/>
        </w:rPr>
        <w:t>及时</w:t>
      </w:r>
      <w:r>
        <w:rPr>
          <w:rFonts w:hint="default" w:ascii="仿宋_GB2312" w:hAnsi="仿宋_GB2312" w:eastAsia="仿宋_GB2312" w:cs="仿宋_GB2312"/>
          <w:color w:val="auto"/>
          <w:sz w:val="32"/>
          <w:szCs w:val="32"/>
        </w:rPr>
        <w:t>跟踪国家</w:t>
      </w:r>
      <w:r>
        <w:rPr>
          <w:rFonts w:hint="eastAsia" w:ascii="仿宋_GB2312" w:hAnsi="仿宋_GB2312" w:eastAsia="仿宋_GB2312" w:cs="仿宋_GB2312"/>
          <w:color w:val="auto"/>
          <w:sz w:val="32"/>
          <w:szCs w:val="32"/>
          <w:lang w:eastAsia="zh-CN"/>
        </w:rPr>
        <w:t>、省</w:t>
      </w:r>
      <w:r>
        <w:rPr>
          <w:rFonts w:hint="default" w:ascii="仿宋_GB2312" w:hAnsi="仿宋_GB2312" w:eastAsia="仿宋_GB2312" w:cs="仿宋_GB2312"/>
          <w:color w:val="auto"/>
          <w:sz w:val="32"/>
          <w:szCs w:val="32"/>
        </w:rPr>
        <w:t>相关领域立法进展，制定全</w:t>
      </w:r>
      <w:r>
        <w:rPr>
          <w:rFonts w:hint="eastAsia" w:ascii="仿宋_GB2312" w:hAnsi="仿宋_GB2312" w:eastAsia="仿宋_GB2312" w:cs="仿宋_GB2312"/>
          <w:color w:val="auto"/>
          <w:sz w:val="32"/>
          <w:szCs w:val="32"/>
          <w:lang w:eastAsia="zh-CN"/>
        </w:rPr>
        <w:t>市</w:t>
      </w:r>
      <w:r>
        <w:rPr>
          <w:rFonts w:hint="default" w:ascii="仿宋_GB2312" w:hAnsi="仿宋_GB2312" w:eastAsia="仿宋_GB2312" w:cs="仿宋_GB2312"/>
          <w:color w:val="auto"/>
          <w:sz w:val="32"/>
          <w:szCs w:val="32"/>
        </w:rPr>
        <w:t>知识产权保护措施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积极适用惩罚性赔偿制度，加大对侵权行为的损害赔偿力度。建立知识产权非诉化解纠纷政策体系。出台加强知识产权全链条保护的政策措施，建立</w:t>
      </w:r>
      <w:r>
        <w:rPr>
          <w:rFonts w:hint="eastAsia" w:ascii="仿宋_GB2312" w:hAnsi="仿宋_GB2312" w:eastAsia="仿宋_GB2312" w:cs="仿宋_GB2312"/>
          <w:color w:val="auto"/>
          <w:sz w:val="32"/>
          <w:szCs w:val="32"/>
          <w:lang w:eastAsia="zh-CN"/>
        </w:rPr>
        <w:t>完善</w:t>
      </w:r>
      <w:r>
        <w:rPr>
          <w:rFonts w:hint="eastAsia" w:ascii="仿宋_GB2312" w:hAnsi="仿宋_GB2312" w:eastAsia="仿宋_GB2312" w:cs="仿宋_GB2312"/>
          <w:color w:val="auto"/>
          <w:sz w:val="32"/>
          <w:szCs w:val="32"/>
        </w:rPr>
        <w:t>跨部门海外知识产权纠纷案件沟通协商与信息共享机制，完善企业海外知识产权纠纷应对指导快速响应与援助机制。完善知识产权信用制度建设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健全知识产权失信联合惩戒机制。建立完善新业态、新领域知识产权保护制度。</w:t>
      </w:r>
      <w:r>
        <w:rPr>
          <w:rFonts w:hint="default" w:ascii="仿宋_GB2312" w:hAnsi="仿宋_GB2312" w:eastAsia="仿宋_GB2312" w:cs="仿宋_GB2312"/>
          <w:color w:val="auto"/>
          <w:sz w:val="32"/>
          <w:szCs w:val="32"/>
        </w:rPr>
        <w:t>落实知识产权反垄断监管机制</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依法治理滥用知识产权排除和限制竞争等行为。</w:t>
      </w:r>
    </w:p>
    <w:p>
      <w:pPr>
        <w:keepNext w:val="0"/>
        <w:keepLines w:val="0"/>
        <w:pageBreakBefore w:val="0"/>
        <w:widowControl/>
        <w:suppressLineNumbers w:val="0"/>
        <w:kinsoku/>
        <w:wordWrap/>
        <w:overflowPunct/>
        <w:autoSpaceDE/>
        <w:autoSpaceDN/>
        <w:bidi w:val="0"/>
        <w:spacing w:beforeAutospacing="0" w:afterAutospacing="0" w:line="240" w:lineRule="auto"/>
        <w:ind w:firstLine="640" w:firstLineChars="200"/>
        <w:jc w:val="left"/>
        <w:textAlignment w:val="auto"/>
        <w:rPr>
          <w:rFonts w:hint="eastAsia" w:ascii="仿宋_GB2312" w:hAnsi="仿宋_GB2312" w:eastAsia="仿宋_GB2312" w:cs="仿宋_GB2312"/>
          <w:color w:val="auto"/>
          <w:sz w:val="32"/>
          <w:szCs w:val="32"/>
          <w:lang w:val="en-US" w:eastAsia="zh-CN"/>
        </w:rPr>
      </w:pPr>
      <w:bookmarkStart w:id="28" w:name="_Toc6754"/>
      <w:r>
        <w:rPr>
          <w:rStyle w:val="23"/>
          <w:rFonts w:hint="eastAsia" w:cs="Times New Roman"/>
          <w:b w:val="0"/>
          <w:bCs w:val="0"/>
          <w:color w:val="auto"/>
          <w:sz w:val="32"/>
          <w:szCs w:val="32"/>
          <w:lang w:val="en-US" w:eastAsia="zh-CN"/>
        </w:rPr>
        <w:t>2.加大知识产权侵权打击力度</w:t>
      </w:r>
      <w:r>
        <w:rPr>
          <w:rStyle w:val="23"/>
          <w:rFonts w:hint="eastAsia"/>
          <w:b w:val="0"/>
          <w:bCs w:val="0"/>
          <w:color w:val="auto"/>
          <w:sz w:val="32"/>
          <w:szCs w:val="32"/>
        </w:rPr>
        <w:t>。</w:t>
      </w:r>
      <w:bookmarkEnd w:id="28"/>
      <w:r>
        <w:rPr>
          <w:rFonts w:hint="eastAsia" w:ascii="仿宋_GB2312" w:hAnsi="仿宋_GB2312" w:eastAsia="仿宋_GB2312" w:cs="仿宋_GB2312"/>
          <w:color w:val="auto"/>
          <w:sz w:val="32"/>
          <w:szCs w:val="32"/>
          <w:lang w:val="en-US" w:eastAsia="zh-CN"/>
        </w:rPr>
        <w:t>加大知识产权监管和行政处罚力度，开展关键领域、关键环节、重点环节、重点群体行政执法专项行动。加强知识产权刑事司法保护，依法从严从快批捕、起诉侵犯知识产权犯罪案件，依法处置侵权商品，有效发挥刑罚惩治和震慑知识产权犯罪的功能。强化海关知识产权保护，严厉打击跨境侵权行为。坚持知识产权侵权赔偿的市场价值导向，依法支持知识产权权利人的惩罚性赔偿请求，切实保障权利人获得充分赔偿。建立数据化打假情报导侦工作机制，侵权假冒线索智能发现机制，常态化开展专项打击行动，持续保持对侵权假冒犯罪高压严打态势。强化知识产权保护中心、快速维权中心建设，不断扩大预审授权领域。</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bookmarkStart w:id="29" w:name="_Toc25100"/>
      <w:r>
        <w:rPr>
          <w:rStyle w:val="23"/>
          <w:rFonts w:hint="eastAsia"/>
          <w:b w:val="0"/>
          <w:bCs w:val="0"/>
          <w:color w:val="auto"/>
          <w:sz w:val="32"/>
          <w:szCs w:val="32"/>
          <w:lang w:val="en-US" w:eastAsia="zh-CN"/>
        </w:rPr>
        <w:t>3</w:t>
      </w:r>
      <w:r>
        <w:rPr>
          <w:rStyle w:val="23"/>
          <w:rFonts w:hint="eastAsia"/>
          <w:b w:val="0"/>
          <w:bCs w:val="0"/>
          <w:color w:val="auto"/>
          <w:sz w:val="32"/>
          <w:szCs w:val="32"/>
        </w:rPr>
        <w:t>.</w:t>
      </w:r>
      <w:r>
        <w:rPr>
          <w:rStyle w:val="23"/>
          <w:rFonts w:hint="eastAsia" w:eastAsia="仿宋_GB2312"/>
          <w:b w:val="0"/>
          <w:bCs w:val="0"/>
          <w:color w:val="auto"/>
          <w:sz w:val="32"/>
          <w:szCs w:val="32"/>
          <w:lang w:val="en-US" w:eastAsia="zh-CN"/>
        </w:rPr>
        <w:t>完善</w:t>
      </w:r>
      <w:r>
        <w:rPr>
          <w:rStyle w:val="23"/>
          <w:rFonts w:hint="eastAsia"/>
          <w:b w:val="0"/>
          <w:bCs w:val="0"/>
          <w:color w:val="auto"/>
          <w:sz w:val="32"/>
          <w:szCs w:val="32"/>
        </w:rPr>
        <w:t>知识产权协同保护</w:t>
      </w:r>
      <w:r>
        <w:rPr>
          <w:rStyle w:val="23"/>
          <w:rFonts w:hint="eastAsia" w:eastAsia="仿宋_GB2312"/>
          <w:b w:val="0"/>
          <w:bCs w:val="0"/>
          <w:color w:val="auto"/>
          <w:sz w:val="32"/>
          <w:szCs w:val="32"/>
          <w:lang w:val="en-US" w:eastAsia="zh-CN"/>
        </w:rPr>
        <w:t>机制</w:t>
      </w:r>
      <w:r>
        <w:rPr>
          <w:rStyle w:val="23"/>
          <w:rFonts w:hint="eastAsia"/>
          <w:b w:val="0"/>
          <w:bCs w:val="0"/>
          <w:color w:val="auto"/>
          <w:sz w:val="32"/>
          <w:szCs w:val="32"/>
        </w:rPr>
        <w:t>。</w:t>
      </w:r>
      <w:bookmarkEnd w:id="29"/>
      <w:bookmarkStart w:id="30" w:name="_Toc16858"/>
      <w:r>
        <w:rPr>
          <w:rFonts w:hint="eastAsia" w:ascii="仿宋_GB2312" w:hAnsi="仿宋_GB2312" w:eastAsia="仿宋_GB2312" w:cs="仿宋_GB2312"/>
          <w:color w:val="auto"/>
          <w:sz w:val="32"/>
          <w:szCs w:val="32"/>
          <w:lang w:val="en-US" w:eastAsia="zh-CN"/>
        </w:rPr>
        <w:t>持续完善与“三合一” 审判机制相适应的案件管辖制度和协调机制，提高知识产权司法保护整体效能。构建全流程一站式知识产权维权服务体系。加强行政执法和刑事司法相衔接，统一知识产权法律适用、证据确认标准和办案指引，探索建立案件双向移送机制。积极建设国家级、省级知识产权规范化市场，建立重点保护企业、重点保护产品清单，建立重点企业联系制度。推进中国(烟台)自由贸易试验区知识产权保护机制建设，统筹进出口双向监管，严厉打击跨境制售侵权假冒商品违法犯罪行为。</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Style w:val="23"/>
          <w:rFonts w:hint="eastAsia" w:cs="Times New Roman"/>
          <w:b w:val="0"/>
          <w:bCs w:val="0"/>
          <w:color w:val="auto"/>
          <w:sz w:val="32"/>
          <w:szCs w:val="32"/>
          <w:lang w:val="en-US" w:eastAsia="zh-CN"/>
        </w:rPr>
        <w:t>4.构建知识产权纠纷多元化解机制。</w:t>
      </w:r>
      <w:bookmarkEnd w:id="30"/>
      <w:r>
        <w:rPr>
          <w:rFonts w:hint="eastAsia" w:ascii="仿宋_GB2312" w:hAnsi="仿宋_GB2312" w:eastAsia="仿宋_GB2312" w:cs="仿宋_GB2312"/>
          <w:color w:val="auto"/>
          <w:sz w:val="32"/>
          <w:szCs w:val="32"/>
          <w:lang w:val="en-US" w:eastAsia="zh-CN"/>
        </w:rPr>
        <w:t>建立健全协调联动、高效便捷、司法保障的知识产权纠纷多元化解机制。完善调解、仲裁、行政裁决等工作机制，丰富纠纷化解方式、畅通知识产权纠纷多元化解渠道，加强诉讼和非诉讼争议解决方式之间的衔接联动，提升纠纷解决的整体效果。支持专业化知识产权仲裁、调解组织、公证机构培育发展，健全技术调查官、专业型人民陪审员制度，在电商平台、展会、专业市场、进出口等重点领域和关键环节构建知识产权纠纷快速处理渠道。指导建立电商平台知识产权快速维权处置机制。推进中国(烟台)自由贸易试验区知识产权快速维权处置机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center"/>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专栏1  知识产权全链条保护工程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1.充分发挥烟台市知识产权保护中心和中国（山东）自由贸易试验区烟台片区知识产权保护中心作用，开展快速审查、快速确权、快速维权工作。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2.完善知识产权纠纷多元化解机制，实现烟台市知识产权人民调解组织、维权援助组织全覆盖。建立知识产权纠纷在线诉调对接机制，强化知识产权纠纷调解协议司法确认工作。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3.依托重点产业知识产权保护联盟，强化行业自律和信息互通。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4.开展重点产业知识产权海外侵权风险防控，建立海外风险防控体系。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both"/>
              <w:textAlignment w:val="auto"/>
              <w:outlineLvl w:val="9"/>
              <w:rPr>
                <w:rFonts w:hint="eastAsia"/>
                <w:color w:val="auto"/>
                <w:vertAlign w:val="baseline"/>
                <w:lang w:val="en-US" w:eastAsia="zh-CN"/>
              </w:rPr>
            </w:pPr>
            <w:r>
              <w:rPr>
                <w:rFonts w:hint="eastAsia" w:ascii="仿宋_GB2312" w:hAnsi="仿宋_GB2312" w:eastAsia="仿宋_GB2312" w:cs="仿宋_GB2312"/>
                <w:color w:val="auto"/>
                <w:sz w:val="32"/>
                <w:szCs w:val="32"/>
                <w:lang w:val="en-US" w:eastAsia="zh-CN"/>
              </w:rPr>
              <w:t>5.加强区域间高效协作，深化知识产权执法协作及资源</w:t>
            </w:r>
            <w:r>
              <w:rPr>
                <w:rFonts w:hint="eastAsia" w:ascii="仿宋_GB2312" w:hAnsi="仿宋_GB2312" w:eastAsia="仿宋_GB2312" w:cs="仿宋_GB2312"/>
                <w:strike w:val="0"/>
                <w:dstrike w:val="0"/>
                <w:color w:val="auto"/>
                <w:sz w:val="32"/>
                <w:szCs w:val="32"/>
              </w:rPr>
              <w:t>共享。</w:t>
            </w:r>
          </w:p>
        </w:tc>
      </w:tr>
    </w:tbl>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outlineLvl w:val="1"/>
        <w:rPr>
          <w:rFonts w:hint="eastAsia" w:ascii="仿宋_GB2312" w:hAnsi="仿宋_GB2312" w:eastAsia="仿宋_GB2312" w:cs="仿宋_GB2312"/>
          <w:b w:val="0"/>
          <w:bCs w:val="0"/>
          <w:color w:val="auto"/>
          <w:sz w:val="32"/>
          <w:szCs w:val="32"/>
        </w:rPr>
      </w:pPr>
      <w:bookmarkStart w:id="31" w:name="_Toc13817"/>
      <w:r>
        <w:rPr>
          <w:rStyle w:val="20"/>
          <w:rFonts w:hint="eastAsia" w:ascii="楷体_GB2312" w:hAnsi="楷体_GB2312" w:eastAsia="楷体_GB2312" w:cs="楷体_GB2312"/>
          <w:b w:val="0"/>
          <w:bCs w:val="0"/>
          <w:color w:val="auto"/>
          <w:sz w:val="32"/>
          <w:szCs w:val="32"/>
        </w:rPr>
        <w:t>(</w:t>
      </w:r>
      <w:r>
        <w:rPr>
          <w:rStyle w:val="20"/>
          <w:rFonts w:hint="eastAsia" w:ascii="楷体_GB2312" w:hAnsi="楷体_GB2312" w:eastAsia="楷体_GB2312" w:cs="楷体_GB2312"/>
          <w:b w:val="0"/>
          <w:bCs w:val="0"/>
          <w:color w:val="auto"/>
          <w:sz w:val="32"/>
          <w:szCs w:val="32"/>
          <w:lang w:val="en-US" w:eastAsia="zh-CN"/>
        </w:rPr>
        <w:t>二</w:t>
      </w:r>
      <w:r>
        <w:rPr>
          <w:rStyle w:val="20"/>
          <w:rFonts w:hint="eastAsia" w:ascii="楷体_GB2312" w:hAnsi="楷体_GB2312" w:eastAsia="楷体_GB2312" w:cs="楷体_GB2312"/>
          <w:b w:val="0"/>
          <w:bCs w:val="0"/>
          <w:color w:val="auto"/>
          <w:sz w:val="32"/>
          <w:szCs w:val="32"/>
        </w:rPr>
        <w:t>)</w:t>
      </w:r>
      <w:r>
        <w:rPr>
          <w:rStyle w:val="20"/>
          <w:rFonts w:hint="eastAsia" w:ascii="楷体_GB2312" w:hAnsi="楷体_GB2312" w:eastAsia="楷体_GB2312" w:cs="楷体_GB2312"/>
          <w:b w:val="0"/>
          <w:bCs w:val="0"/>
          <w:color w:val="auto"/>
          <w:sz w:val="32"/>
          <w:szCs w:val="32"/>
          <w:lang w:val="en-US" w:eastAsia="zh-CN"/>
        </w:rPr>
        <w:t>高质量推进</w:t>
      </w:r>
      <w:r>
        <w:rPr>
          <w:rStyle w:val="20"/>
          <w:rFonts w:hint="eastAsia" w:ascii="楷体_GB2312" w:hAnsi="楷体_GB2312" w:eastAsia="楷体_GB2312" w:cs="楷体_GB2312"/>
          <w:b w:val="0"/>
          <w:bCs w:val="0"/>
          <w:color w:val="auto"/>
          <w:sz w:val="32"/>
          <w:szCs w:val="32"/>
        </w:rPr>
        <w:t>知识产权创造</w:t>
      </w:r>
      <w:r>
        <w:rPr>
          <w:rStyle w:val="20"/>
          <w:rFonts w:hint="eastAsia" w:ascii="楷体_GB2312" w:hAnsi="楷体_GB2312" w:eastAsia="楷体_GB2312" w:cs="楷体_GB2312"/>
          <w:b w:val="0"/>
          <w:bCs w:val="0"/>
          <w:color w:val="auto"/>
          <w:sz w:val="32"/>
          <w:szCs w:val="32"/>
          <w:lang w:eastAsia="zh-CN"/>
        </w:rPr>
        <w:t>，</w:t>
      </w:r>
      <w:r>
        <w:rPr>
          <w:rStyle w:val="20"/>
          <w:rFonts w:hint="eastAsia" w:ascii="楷体_GB2312" w:hAnsi="楷体_GB2312" w:eastAsia="楷体_GB2312" w:cs="楷体_GB2312"/>
          <w:b w:val="0"/>
          <w:bCs w:val="0"/>
          <w:color w:val="auto"/>
          <w:sz w:val="32"/>
          <w:szCs w:val="32"/>
        </w:rPr>
        <w:t>提升</w:t>
      </w:r>
      <w:r>
        <w:rPr>
          <w:rStyle w:val="20"/>
          <w:rFonts w:hint="eastAsia" w:ascii="楷体_GB2312" w:hAnsi="楷体_GB2312" w:eastAsia="楷体_GB2312" w:cs="楷体_GB2312"/>
          <w:b w:val="0"/>
          <w:bCs w:val="0"/>
          <w:color w:val="auto"/>
          <w:sz w:val="32"/>
          <w:szCs w:val="32"/>
          <w:lang w:val="en-US" w:eastAsia="zh-CN"/>
        </w:rPr>
        <w:t>产业</w:t>
      </w:r>
      <w:r>
        <w:rPr>
          <w:rStyle w:val="20"/>
          <w:rFonts w:hint="eastAsia" w:ascii="楷体_GB2312" w:hAnsi="楷体_GB2312" w:eastAsia="楷体_GB2312" w:cs="楷体_GB2312"/>
          <w:b w:val="0"/>
          <w:bCs w:val="0"/>
          <w:color w:val="auto"/>
          <w:sz w:val="32"/>
          <w:szCs w:val="32"/>
        </w:rPr>
        <w:t>核心竞争力。</w:t>
      </w:r>
      <w:bookmarkEnd w:id="31"/>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bookmarkStart w:id="32" w:name="_Toc14132"/>
      <w:r>
        <w:rPr>
          <w:rStyle w:val="23"/>
          <w:rFonts w:hint="eastAsia"/>
          <w:b w:val="0"/>
          <w:bCs w:val="0"/>
          <w:color w:val="auto"/>
          <w:sz w:val="32"/>
          <w:szCs w:val="32"/>
          <w:lang w:val="en-US" w:eastAsia="zh-CN"/>
        </w:rPr>
        <w:t>1.</w:t>
      </w:r>
      <w:r>
        <w:rPr>
          <w:rStyle w:val="23"/>
          <w:rFonts w:hint="eastAsia"/>
          <w:b w:val="0"/>
          <w:bCs w:val="0"/>
          <w:color w:val="auto"/>
          <w:sz w:val="32"/>
          <w:szCs w:val="32"/>
        </w:rPr>
        <w:t>优化知识产权创造激励机制。</w:t>
      </w:r>
      <w:bookmarkEnd w:id="32"/>
      <w:r>
        <w:rPr>
          <w:rFonts w:hint="eastAsia" w:ascii="仿宋_GB2312" w:hAnsi="仿宋_GB2312" w:eastAsia="仿宋_GB2312" w:cs="仿宋_GB2312"/>
          <w:b w:val="0"/>
          <w:bCs w:val="0"/>
          <w:color w:val="auto"/>
          <w:kern w:val="2"/>
          <w:sz w:val="32"/>
          <w:szCs w:val="32"/>
          <w:lang w:val="en-US" w:eastAsia="zh-CN" w:bidi="ar-SA"/>
        </w:rPr>
        <w:t>完善知识产权激励政策体系，鼓励知识产权创造运用。强化质量导向，支持高价值专利、商标品牌和版权精品的培育和运营，培育高端知识产权服务业态，打造完善知识产权服务产业链，支持和引导</w:t>
      </w:r>
      <w:r>
        <w:rPr>
          <w:rFonts w:hint="eastAsia" w:ascii="仿宋_GB2312" w:hAnsi="仿宋_GB2312" w:eastAsia="仿宋_GB2312" w:cs="仿宋_GB2312"/>
          <w:b w:val="0"/>
          <w:bCs w:val="0"/>
          <w:strike/>
          <w:dstrike w:val="0"/>
          <w:color w:val="auto"/>
          <w:kern w:val="2"/>
          <w:sz w:val="32"/>
          <w:szCs w:val="32"/>
          <w:lang w:val="en-US" w:eastAsia="zh-CN" w:bidi="ar-SA"/>
        </w:rPr>
        <w:t>企业</w:t>
      </w:r>
      <w:r>
        <w:rPr>
          <w:rFonts w:hint="eastAsia" w:ascii="仿宋_GB2312" w:hAnsi="仿宋_GB2312" w:eastAsia="仿宋_GB2312" w:cs="仿宋_GB2312"/>
          <w:b w:val="0"/>
          <w:bCs w:val="0"/>
          <w:strike w:val="0"/>
          <w:dstrike w:val="0"/>
          <w:color w:val="auto"/>
          <w:kern w:val="2"/>
          <w:sz w:val="32"/>
          <w:szCs w:val="32"/>
          <w:lang w:val="en-US" w:eastAsia="zh-CN" w:bidi="ar-SA"/>
        </w:rPr>
        <w:t>创新主体</w:t>
      </w:r>
      <w:r>
        <w:rPr>
          <w:rFonts w:hint="eastAsia" w:ascii="仿宋_GB2312" w:hAnsi="仿宋_GB2312" w:eastAsia="仿宋_GB2312" w:cs="仿宋_GB2312"/>
          <w:b w:val="0"/>
          <w:bCs w:val="0"/>
          <w:color w:val="auto"/>
          <w:kern w:val="2"/>
          <w:sz w:val="32"/>
          <w:szCs w:val="32"/>
          <w:lang w:val="en-US" w:eastAsia="zh-CN" w:bidi="ar-SA"/>
        </w:rPr>
        <w:t>持续提升知识产权创造质量。</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bookmarkStart w:id="33" w:name="_Toc4655"/>
      <w:r>
        <w:rPr>
          <w:rStyle w:val="23"/>
          <w:rFonts w:hint="eastAsia"/>
          <w:b w:val="0"/>
          <w:bCs w:val="0"/>
          <w:color w:val="auto"/>
          <w:sz w:val="32"/>
          <w:szCs w:val="32"/>
          <w:lang w:val="en-US" w:eastAsia="zh-CN"/>
        </w:rPr>
        <w:t>2.</w:t>
      </w:r>
      <w:r>
        <w:rPr>
          <w:rStyle w:val="23"/>
          <w:rFonts w:hint="eastAsia"/>
          <w:b w:val="0"/>
          <w:bCs w:val="0"/>
          <w:color w:val="auto"/>
          <w:sz w:val="32"/>
          <w:szCs w:val="32"/>
        </w:rPr>
        <w:t>提升知识产权</w:t>
      </w:r>
      <w:r>
        <w:rPr>
          <w:rStyle w:val="23"/>
          <w:rFonts w:hint="eastAsia" w:eastAsia="仿宋_GB2312"/>
          <w:b w:val="0"/>
          <w:bCs w:val="0"/>
          <w:color w:val="auto"/>
          <w:sz w:val="32"/>
          <w:szCs w:val="32"/>
          <w:lang w:eastAsia="zh-CN"/>
        </w:rPr>
        <w:t>高水平</w:t>
      </w:r>
      <w:r>
        <w:rPr>
          <w:rStyle w:val="23"/>
          <w:rFonts w:hint="eastAsia"/>
          <w:b w:val="0"/>
          <w:bCs w:val="0"/>
          <w:color w:val="auto"/>
          <w:sz w:val="32"/>
          <w:szCs w:val="32"/>
        </w:rPr>
        <w:t>创造能力。</w:t>
      </w:r>
      <w:bookmarkEnd w:id="33"/>
      <w:r>
        <w:rPr>
          <w:rFonts w:hint="eastAsia" w:ascii="仿宋_GB2312" w:hAnsi="仿宋_GB2312" w:eastAsia="仿宋_GB2312" w:cs="仿宋_GB2312"/>
          <w:b w:val="0"/>
          <w:bCs w:val="0"/>
          <w:strike w:val="0"/>
          <w:dstrike w:val="0"/>
          <w:color w:val="auto"/>
          <w:kern w:val="2"/>
          <w:sz w:val="32"/>
          <w:szCs w:val="32"/>
          <w:lang w:val="en-US" w:eastAsia="zh-CN" w:bidi="ar-SA"/>
        </w:rPr>
        <w:t>加强产业链知识产权布局，</w:t>
      </w:r>
      <w:r>
        <w:rPr>
          <w:rFonts w:ascii="仿宋_GB2312" w:hAnsi="宋体" w:eastAsia="仿宋_GB2312" w:cs="仿宋_GB2312"/>
          <w:b w:val="0"/>
          <w:bCs w:val="0"/>
          <w:color w:val="auto"/>
          <w:kern w:val="0"/>
          <w:sz w:val="32"/>
          <w:szCs w:val="32"/>
          <w:lang w:val="en-US" w:eastAsia="zh-CN" w:bidi="ar"/>
        </w:rPr>
        <w:t>发挥烟台开发区国家专利导</w:t>
      </w:r>
      <w:r>
        <w:rPr>
          <w:rFonts w:hint="eastAsia" w:ascii="仿宋_GB2312" w:hAnsi="宋体" w:eastAsia="仿宋_GB2312" w:cs="仿宋_GB2312"/>
          <w:b w:val="0"/>
          <w:bCs w:val="0"/>
          <w:color w:val="auto"/>
          <w:kern w:val="0"/>
          <w:sz w:val="32"/>
          <w:szCs w:val="32"/>
          <w:lang w:val="en-US" w:eastAsia="zh-CN" w:bidi="ar"/>
        </w:rPr>
        <w:t>航产业发展</w:t>
      </w:r>
      <w:r>
        <w:rPr>
          <w:rFonts w:hint="eastAsia" w:ascii="仿宋_GB2312" w:hAnsi="宋体" w:eastAsia="仿宋_GB2312" w:cs="仿宋_GB2312"/>
          <w:color w:val="auto"/>
          <w:kern w:val="0"/>
          <w:sz w:val="32"/>
          <w:szCs w:val="32"/>
          <w:lang w:val="en-US" w:eastAsia="zh-CN" w:bidi="ar"/>
        </w:rPr>
        <w:t>实验区示范引领作用，运用专利导航工作机制在海工装备、核电装备、生物医药、航空航天等战略新兴产业中加强知识产权集群管理</w:t>
      </w:r>
      <w:r>
        <w:rPr>
          <w:rFonts w:hint="eastAsia" w:ascii="仿宋_GB2312" w:hAnsi="仿宋_GB2312" w:eastAsia="仿宋_GB2312" w:cs="仿宋_GB2312"/>
          <w:i w:val="0"/>
          <w:iCs w:val="0"/>
          <w:caps w:val="0"/>
          <w:color w:val="auto"/>
          <w:spacing w:val="0"/>
          <w:sz w:val="32"/>
          <w:szCs w:val="32"/>
          <w:shd w:val="clear" w:fill="FFFFFF"/>
          <w:lang w:val="en-US" w:eastAsia="zh-CN"/>
        </w:rPr>
        <w:t>，推动战略性新兴产业规模化、高端化、集聚化发展。发挥知识产权协同创新机制作用，</w:t>
      </w:r>
      <w:r>
        <w:rPr>
          <w:rFonts w:hint="eastAsia" w:ascii="仿宋_GB2312" w:hAnsi="仿宋_GB2312" w:eastAsia="仿宋_GB2312" w:cs="仿宋_GB2312"/>
          <w:i w:val="0"/>
          <w:iCs w:val="0"/>
          <w:caps w:val="0"/>
          <w:strike w:val="0"/>
          <w:dstrike w:val="0"/>
          <w:color w:val="auto"/>
          <w:spacing w:val="0"/>
          <w:sz w:val="32"/>
          <w:szCs w:val="32"/>
          <w:shd w:val="clear" w:fill="FFFFFF"/>
          <w:lang w:val="en-US" w:eastAsia="zh-CN"/>
        </w:rPr>
        <w:t>培育一批</w:t>
      </w:r>
      <w:r>
        <w:rPr>
          <w:rFonts w:hint="eastAsia" w:ascii="仿宋_GB2312" w:hAnsi="仿宋_GB2312" w:eastAsia="仿宋_GB2312" w:cs="仿宋_GB2312"/>
          <w:i w:val="0"/>
          <w:iCs w:val="0"/>
          <w:caps w:val="0"/>
          <w:color w:val="auto"/>
          <w:spacing w:val="0"/>
          <w:sz w:val="32"/>
          <w:szCs w:val="32"/>
          <w:shd w:val="clear" w:fill="FFFFFF"/>
          <w:lang w:val="en-US" w:eastAsia="zh-CN"/>
        </w:rPr>
        <w:t>支撑产业发展和提升企业竞争力的高价值专利</w:t>
      </w:r>
      <w:r>
        <w:rPr>
          <w:rFonts w:hint="eastAsia" w:ascii="仿宋_GB2312" w:hAnsi="仿宋_GB2312" w:eastAsia="仿宋_GB2312" w:cs="仿宋_GB2312"/>
          <w:i w:val="0"/>
          <w:iCs w:val="0"/>
          <w:caps w:val="0"/>
          <w:strike w:val="0"/>
          <w:dstrike w:val="0"/>
          <w:color w:val="auto"/>
          <w:spacing w:val="0"/>
          <w:sz w:val="32"/>
          <w:szCs w:val="32"/>
          <w:shd w:val="clear" w:fill="FFFFFF"/>
          <w:lang w:val="en-US" w:eastAsia="zh-CN"/>
        </w:rPr>
        <w:t>组合</w:t>
      </w:r>
      <w:r>
        <w:rPr>
          <w:rFonts w:hint="eastAsia" w:ascii="仿宋_GB2312" w:hAnsi="仿宋_GB2312" w:eastAsia="仿宋_GB2312" w:cs="仿宋_GB2312"/>
          <w:i w:val="0"/>
          <w:iCs w:val="0"/>
          <w:caps w:val="0"/>
          <w:color w:val="auto"/>
          <w:spacing w:val="0"/>
          <w:sz w:val="32"/>
          <w:szCs w:val="32"/>
          <w:shd w:val="clear" w:fill="FFFFFF"/>
          <w:lang w:val="en-US" w:eastAsia="zh-CN"/>
        </w:rPr>
        <w:t>、产业集群商标、区域特色地理标志等高水平知识产权。充分发挥驻烟高校院所优势，探索建设“校所城产”融合发展示范区，建立完善企业、高等学校、科研院所共同参与、利益共享、风险共担的产学研协同创新机制。</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l2br w:val="nil"/>
              <w:tr2bl w:val="nil"/>
            </w:tcBorders>
            <w:vAlign w:val="top"/>
          </w:tcPr>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firstLine="640" w:firstLineChars="200"/>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专栏2  知识产权要素配置工程</w:t>
            </w:r>
          </w:p>
          <w:p>
            <w:pPr>
              <w:pStyle w:val="7"/>
              <w:pageBreakBefore w:val="0"/>
              <w:widowControl w:val="0"/>
              <w:kinsoku/>
              <w:wordWrap/>
              <w:overflowPunct/>
              <w:topLinePunct w:val="0"/>
              <w:autoSpaceDE/>
              <w:autoSpaceDN/>
              <w:bidi w:val="0"/>
              <w:spacing w:beforeAutospacing="0" w:afterAutospacing="0" w:line="240" w:lineRule="auto"/>
              <w:ind w:right="0" w:firstLine="640" w:firstLineChars="200"/>
              <w:jc w:val="both"/>
              <w:textAlignment w:val="auto"/>
              <w:rPr>
                <w:rStyle w:val="20"/>
                <w:rFonts w:hint="eastAsia" w:ascii="仿宋_GB2312" w:hAnsi="仿宋_GB2312" w:eastAsia="仿宋_GB2312" w:cs="仿宋_GB2312"/>
                <w:b w:val="0"/>
                <w:bCs w:val="0"/>
                <w:color w:val="auto"/>
                <w:sz w:val="32"/>
                <w:szCs w:val="32"/>
                <w:highlight w:val="none"/>
                <w:lang w:val="en-US" w:eastAsia="zh-CN"/>
              </w:rPr>
            </w:pPr>
            <w:r>
              <w:rPr>
                <w:rStyle w:val="20"/>
                <w:rFonts w:hint="eastAsia" w:ascii="楷体_GB2312" w:hAnsi="楷体_GB2312" w:eastAsia="楷体_GB2312" w:cs="楷体_GB2312"/>
                <w:b w:val="0"/>
                <w:bCs w:val="0"/>
                <w:color w:val="auto"/>
                <w:sz w:val="32"/>
                <w:szCs w:val="32"/>
                <w:highlight w:val="none"/>
                <w:lang w:val="en-US" w:eastAsia="zh-CN"/>
              </w:rPr>
              <w:t>1.建设高价值专利培育中心。</w:t>
            </w:r>
            <w:r>
              <w:rPr>
                <w:rStyle w:val="20"/>
                <w:rFonts w:hint="eastAsia" w:ascii="仿宋_GB2312" w:hAnsi="仿宋_GB2312" w:eastAsia="仿宋_GB2312" w:cs="仿宋_GB2312"/>
                <w:b w:val="0"/>
                <w:bCs w:val="0"/>
                <w:color w:val="auto"/>
                <w:sz w:val="32"/>
                <w:szCs w:val="32"/>
                <w:highlight w:val="none"/>
                <w:lang w:val="en-US" w:eastAsia="zh-CN"/>
              </w:rPr>
              <w:t>围绕烟台市战略性新兴产业体系，强化重点领域关键核心技术攻关，推动产业发展向价值链高端攀升。在知识产权工作基础较好的企业、院校和创新平台中，每年建设不超过10个高价值专利培育中心，给予最高50万元资助。瞄准重点领域“卡脖子”技术，每年举办1-2期专利专利挖掘与布局培训，遴选5-10个高价值专利组合，给予最高30万元资助。推进专利标准化。支持1-2个行业龙头企业、单项冠军企业加强标准必要专利建设，对相关必要专利纳入产品和技术标准的标准制定牵头企业，给予最高5万元奖励。鼓励海外专利布局，形成一批自主可控的高价值专利，提升产业竞争力，增强主导产业话语权。</w:t>
            </w:r>
          </w:p>
          <w:p>
            <w:pPr>
              <w:pStyle w:val="7"/>
              <w:pageBreakBefore w:val="0"/>
              <w:widowControl w:val="0"/>
              <w:kinsoku/>
              <w:wordWrap/>
              <w:overflowPunct/>
              <w:topLinePunct w:val="0"/>
              <w:autoSpaceDE/>
              <w:autoSpaceDN/>
              <w:bidi w:val="0"/>
              <w:spacing w:beforeAutospacing="0" w:afterAutospacing="0" w:line="240" w:lineRule="auto"/>
              <w:ind w:right="0" w:firstLine="640" w:firstLineChars="200"/>
              <w:jc w:val="both"/>
              <w:textAlignment w:val="auto"/>
              <w:rPr>
                <w:rStyle w:val="20"/>
                <w:rFonts w:hint="eastAsia" w:ascii="仿宋_GB2312" w:hAnsi="仿宋_GB2312" w:eastAsia="仿宋_GB2312" w:cs="仿宋_GB2312"/>
                <w:b w:val="0"/>
                <w:bCs w:val="0"/>
                <w:color w:val="auto"/>
                <w:sz w:val="32"/>
                <w:szCs w:val="32"/>
                <w:highlight w:val="none"/>
                <w:lang w:val="en-US" w:eastAsia="zh-CN"/>
              </w:rPr>
            </w:pPr>
            <w:r>
              <w:rPr>
                <w:rStyle w:val="20"/>
                <w:rFonts w:hint="eastAsia" w:ascii="楷体_GB2312" w:hAnsi="楷体_GB2312" w:eastAsia="楷体_GB2312" w:cs="楷体_GB2312"/>
                <w:b w:val="0"/>
                <w:bCs w:val="0"/>
                <w:color w:val="auto"/>
                <w:sz w:val="32"/>
                <w:szCs w:val="32"/>
                <w:highlight w:val="none"/>
                <w:lang w:val="en-US" w:eastAsia="zh-CN"/>
              </w:rPr>
              <w:t>2.推进商标、版权高质量发展。</w:t>
            </w:r>
            <w:r>
              <w:rPr>
                <w:rStyle w:val="20"/>
                <w:rFonts w:hint="eastAsia" w:ascii="仿宋_GB2312" w:hAnsi="仿宋_GB2312" w:eastAsia="仿宋_GB2312" w:cs="仿宋_GB2312"/>
                <w:b w:val="0"/>
                <w:bCs w:val="0"/>
                <w:color w:val="auto"/>
                <w:sz w:val="32"/>
                <w:szCs w:val="32"/>
                <w:highlight w:val="none"/>
                <w:lang w:val="en-US" w:eastAsia="zh-CN"/>
              </w:rPr>
              <w:t>建立商标品牌辅导站，实施“一标一策”，利用驰名商标保护机制，发展传承好传统品牌和老字号，大力培育具有国际影响力的知名商标品牌。发挥集体商标、证明商标制度作用，打造特色鲜明、竞争力强、市场信誉好的产业集群品牌和区域品牌。对成功培育特色鲜明、竞争力强、市场信誉好的区域商标品牌的社会团体或者集体组织，按商标品牌影响力择优给予不超过50万元奖励。进一步建设烟台文化创意产业园，鼓励网络版权交易，带动烟台版权产业高质量发展。</w:t>
            </w:r>
          </w:p>
          <w:p>
            <w:pPr>
              <w:pStyle w:val="7"/>
              <w:pageBreakBefore w:val="0"/>
              <w:widowControl w:val="0"/>
              <w:kinsoku/>
              <w:wordWrap/>
              <w:overflowPunct/>
              <w:topLinePunct w:val="0"/>
              <w:autoSpaceDE/>
              <w:autoSpaceDN/>
              <w:bidi w:val="0"/>
              <w:spacing w:beforeAutospacing="0" w:afterAutospacing="0" w:line="240" w:lineRule="auto"/>
              <w:ind w:right="0" w:firstLine="640" w:firstLineChars="200"/>
              <w:jc w:val="both"/>
              <w:textAlignment w:val="auto"/>
              <w:rPr>
                <w:rStyle w:val="20"/>
                <w:rFonts w:hint="eastAsia"/>
                <w:b w:val="0"/>
                <w:bCs w:val="0"/>
                <w:color w:val="auto"/>
                <w:sz w:val="32"/>
                <w:szCs w:val="32"/>
                <w:highlight w:val="none"/>
                <w:lang w:val="en-US" w:eastAsia="zh-CN"/>
              </w:rPr>
            </w:pPr>
            <w:r>
              <w:rPr>
                <w:rStyle w:val="20"/>
                <w:rFonts w:hint="eastAsia" w:ascii="楷体_GB2312" w:hAnsi="楷体_GB2312" w:eastAsia="楷体_GB2312" w:cs="楷体_GB2312"/>
                <w:b w:val="0"/>
                <w:bCs w:val="0"/>
                <w:color w:val="auto"/>
                <w:sz w:val="32"/>
                <w:szCs w:val="32"/>
                <w:highlight w:val="none"/>
                <w:lang w:val="en-US" w:eastAsia="zh-CN"/>
              </w:rPr>
              <w:t>3.打造地理标志运用保护样板。</w:t>
            </w:r>
            <w:r>
              <w:rPr>
                <w:rStyle w:val="20"/>
                <w:rFonts w:hint="eastAsia" w:ascii="仿宋_GB2312" w:hAnsi="仿宋_GB2312" w:eastAsia="仿宋_GB2312" w:cs="仿宋_GB2312"/>
                <w:b w:val="0"/>
                <w:bCs w:val="0"/>
                <w:color w:val="auto"/>
                <w:sz w:val="32"/>
                <w:szCs w:val="32"/>
                <w:highlight w:val="none"/>
                <w:lang w:val="en-US" w:eastAsia="zh-CN"/>
              </w:rPr>
              <w:t>支持国家级、省级地理标志产品保护示范区、运用促进工程项目建设，推动地理标志与特色产业发展、生态文明建设、历史文化传承以及乡村振兴有机融合，每个项目给予最高100万奖励。发挥地理标志产业运营中心作用，每年选取1-2个地理标志产品或商标，开展地理标志培育计划，提升烟台葡萄酒、龙口粉丝等地域特色产品以及烟台老字号产品影响力和产品附加值。鼓励地理标志推广使用，对成功注册地理标志保护产品或者地理标志商标的持有人，每件资助10万元。</w:t>
            </w:r>
          </w:p>
        </w:tc>
      </w:tr>
    </w:tbl>
    <w:p>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640" w:firstLineChars="200"/>
        <w:jc w:val="both"/>
        <w:textAlignment w:val="auto"/>
        <w:rPr>
          <w:rFonts w:hint="eastAsia" w:ascii="仿宋_GB2312" w:hAnsi="仿宋_GB2312" w:eastAsia="仿宋_GB2312" w:cs="仿宋_GB2312"/>
          <w:color w:val="auto"/>
          <w:sz w:val="32"/>
          <w:szCs w:val="32"/>
        </w:rPr>
      </w:pPr>
      <w:bookmarkStart w:id="34" w:name="_Toc12947"/>
      <w:r>
        <w:rPr>
          <w:rStyle w:val="23"/>
          <w:rFonts w:hint="eastAsia"/>
          <w:b w:val="0"/>
          <w:bCs w:val="0"/>
          <w:strike w:val="0"/>
          <w:dstrike w:val="0"/>
          <w:color w:val="auto"/>
          <w:sz w:val="32"/>
          <w:szCs w:val="32"/>
          <w:lang w:val="en-US" w:eastAsia="zh-CN"/>
        </w:rPr>
        <w:t>3</w:t>
      </w:r>
      <w:r>
        <w:rPr>
          <w:rStyle w:val="23"/>
          <w:rFonts w:hint="eastAsia"/>
          <w:b w:val="0"/>
          <w:bCs w:val="0"/>
          <w:strike w:val="0"/>
          <w:dstrike w:val="0"/>
          <w:color w:val="auto"/>
          <w:sz w:val="32"/>
          <w:szCs w:val="32"/>
        </w:rPr>
        <w:t>.</w:t>
      </w:r>
      <w:r>
        <w:rPr>
          <w:rStyle w:val="23"/>
          <w:rFonts w:hint="eastAsia"/>
          <w:b w:val="0"/>
          <w:bCs w:val="0"/>
          <w:color w:val="auto"/>
          <w:sz w:val="32"/>
          <w:szCs w:val="32"/>
        </w:rPr>
        <w:t>促进创新主体知识产权管理。</w:t>
      </w:r>
      <w:bookmarkEnd w:id="34"/>
      <w:r>
        <w:rPr>
          <w:rFonts w:hint="eastAsia" w:ascii="仿宋_GB2312" w:hAnsi="仿宋_GB2312" w:eastAsia="仿宋_GB2312" w:cs="仿宋_GB2312"/>
          <w:b w:val="0"/>
          <w:bCs w:val="0"/>
          <w:color w:val="auto"/>
          <w:sz w:val="32"/>
          <w:szCs w:val="32"/>
        </w:rPr>
        <w:t>推进创新主体加强知识产权管理标准化体系建设，提升创新主体知识产权综合管理能力。完善产业企业知识产权工作体系，加大知识产权优势企业培育力度，实施知识产权强企、强校、强所工程。支持企业建立以产业数据、专利数据</w:t>
      </w:r>
      <w:r>
        <w:rPr>
          <w:rFonts w:hint="eastAsia" w:ascii="仿宋_GB2312" w:hAnsi="仿宋_GB2312" w:eastAsia="仿宋_GB2312" w:cs="仿宋_GB2312"/>
          <w:color w:val="auto"/>
          <w:sz w:val="32"/>
          <w:szCs w:val="32"/>
        </w:rPr>
        <w:t>为基础的决策机制，找准创新路径，提升研发能力。</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 xml:space="preserve">专栏3  知识产权强企培育工程 </w:t>
            </w:r>
          </w:p>
          <w:p>
            <w:pPr>
              <w:pStyle w:val="7"/>
              <w:keepNext w:val="0"/>
              <w:keepLines w:val="0"/>
              <w:pageBreakBefore w:val="0"/>
              <w:kinsoku/>
              <w:wordWrap/>
              <w:overflowPunct/>
              <w:autoSpaceDE/>
              <w:autoSpaceDN/>
              <w:bidi w:val="0"/>
              <w:adjustRightInd/>
              <w:snapToGrid/>
              <w:spacing w:beforeAutospacing="0" w:afterAutospacing="0" w:line="240" w:lineRule="auto"/>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1.引导贯彻《企业知识产权管理规范》。</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pacing w:val="6"/>
                <w:w w:val="95"/>
                <w:sz w:val="32"/>
                <w:szCs w:val="32"/>
                <w:highlight w:val="none"/>
              </w:rPr>
              <w:t>通过知识产权贯标认证</w:t>
            </w:r>
            <w:r>
              <w:rPr>
                <w:rFonts w:hint="eastAsia" w:ascii="仿宋_GB2312" w:hAnsi="仿宋_GB2312" w:eastAsia="仿宋_GB2312" w:cs="仿宋_GB2312"/>
                <w:color w:val="auto"/>
                <w:spacing w:val="6"/>
                <w:w w:val="95"/>
                <w:sz w:val="32"/>
                <w:szCs w:val="32"/>
                <w:highlight w:val="none"/>
                <w:lang w:val="en-US" w:eastAsia="zh-CN"/>
              </w:rPr>
              <w:t>且持续运行的</w:t>
            </w:r>
            <w:r>
              <w:rPr>
                <w:rFonts w:hint="eastAsia" w:ascii="仿宋_GB2312" w:hAnsi="仿宋_GB2312" w:eastAsia="仿宋_GB2312" w:cs="仿宋_GB2312"/>
                <w:color w:val="auto"/>
                <w:spacing w:val="6"/>
                <w:sz w:val="32"/>
                <w:szCs w:val="32"/>
                <w:highlight w:val="none"/>
              </w:rPr>
              <w:t>，给予不超过实际认证费用的资助。</w:t>
            </w:r>
            <w:r>
              <w:rPr>
                <w:rFonts w:hint="eastAsia" w:ascii="仿宋_GB2312" w:hAnsi="仿宋_GB2312" w:eastAsia="仿宋_GB2312" w:cs="仿宋_GB2312"/>
                <w:color w:val="auto"/>
                <w:sz w:val="32"/>
                <w:szCs w:val="32"/>
                <w:highlight w:val="none"/>
              </w:rPr>
              <w:t>发挥专利、商标、版权等多种类型知识产权组合效应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培育知识产权强企。每年发布知识产权强企榜单，评定不超过20家市级知识产权优势企业，每家给予最高20万元的奖励。对获得国家级、省级知识产权优势企业、示范企业认定的，给予10万元奖励。</w:t>
            </w:r>
          </w:p>
          <w:p>
            <w:pPr>
              <w:pStyle w:val="9"/>
              <w:keepNext w:val="0"/>
              <w:keepLines w:val="0"/>
              <w:pageBreakBefore w:val="0"/>
              <w:kinsoku/>
              <w:wordWrap/>
              <w:overflowPunct/>
              <w:autoSpaceDE/>
              <w:autoSpaceDN/>
              <w:bidi w:val="0"/>
              <w:adjustRightInd/>
              <w:snapToGrid/>
              <w:spacing w:beforeAutospacing="0" w:afterAutospacing="0" w:line="240" w:lineRule="auto"/>
              <w:ind w:right="0" w:firstLine="640" w:firstLineChars="200"/>
              <w:jc w:val="both"/>
              <w:textAlignment w:val="auto"/>
              <w:rPr>
                <w:rFonts w:hint="eastAsia"/>
                <w:color w:val="auto"/>
                <w:vertAlign w:val="baseline"/>
              </w:rPr>
            </w:pPr>
            <w:r>
              <w:rPr>
                <w:rFonts w:hint="eastAsia" w:ascii="楷体_GB2312" w:hAnsi="楷体_GB2312" w:eastAsia="楷体_GB2312" w:cs="楷体_GB2312"/>
                <w:color w:val="auto"/>
                <w:kern w:val="2"/>
                <w:sz w:val="32"/>
                <w:szCs w:val="32"/>
                <w:highlight w:val="none"/>
                <w:lang w:val="en-US" w:eastAsia="zh-CN" w:bidi="zh-CN"/>
              </w:rPr>
              <w:t>2.知识产权护航企业上市。</w:t>
            </w:r>
            <w:r>
              <w:rPr>
                <w:rFonts w:hint="eastAsia" w:ascii="仿宋_GB2312" w:hAnsi="仿宋_GB2312" w:eastAsia="仿宋_GB2312" w:cs="仿宋_GB2312"/>
                <w:color w:val="auto"/>
                <w:sz w:val="32"/>
                <w:szCs w:val="32"/>
                <w:highlight w:val="none"/>
                <w:lang w:val="en-US" w:eastAsia="zh-CN"/>
              </w:rPr>
              <w:t>支持烟台大学等驻烟高校和知识产权服务业联合会建立企业上市知识产权辅导站，持续改善上市企业知识产权管理和运用工作，探索建立工作标准和规范，为创业板上市企业的知识产权信息披露提供指引。</w:t>
            </w:r>
          </w:p>
        </w:tc>
      </w:tr>
    </w:tbl>
    <w:p>
      <w:pPr>
        <w:pStyle w:val="9"/>
        <w:keepNext w:val="0"/>
        <w:keepLines w:val="0"/>
        <w:pageBreakBefore w:val="0"/>
        <w:widowControl w:val="0"/>
        <w:numPr>
          <w:ilvl w:val="0"/>
          <w:numId w:val="0"/>
        </w:numPr>
        <w:kinsoku/>
        <w:wordWrap/>
        <w:overflowPunct/>
        <w:topLinePunct/>
        <w:autoSpaceDE/>
        <w:autoSpaceDN/>
        <w:bidi w:val="0"/>
        <w:adjustRightInd/>
        <w:snapToGrid/>
        <w:spacing w:beforeAutospacing="0" w:afterAutospacing="0" w:line="240" w:lineRule="auto"/>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4.开展知识产权密集型产业培育。主</w:t>
      </w:r>
      <w:r>
        <w:rPr>
          <w:rFonts w:hint="eastAsia" w:ascii="仿宋_GB2312" w:hAnsi="仿宋_GB2312" w:eastAsia="仿宋_GB2312" w:cs="仿宋_GB2312"/>
          <w:color w:val="auto"/>
          <w:sz w:val="32"/>
          <w:szCs w:val="32"/>
          <w:lang w:val="en-US" w:eastAsia="zh-CN"/>
        </w:rPr>
        <w:t>动对接产业发展需求，建立专利密集型产业专利统计分析制度，制定专利密集型产品评定办法，开展专利密集型产业课题研究，引导和支持各种优势资源向专利密集型产业集聚。依托开发区、高新区两大国家知识产权示范园区，集成知识产权资源促进产业园和园内企业发展，重点提升“9+N”产业集群知识产权密集度。</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textAlignment w:val="auto"/>
        <w:outlineLvl w:val="1"/>
        <w:rPr>
          <w:rStyle w:val="20"/>
          <w:rFonts w:hint="eastAsia"/>
          <w:b w:val="0"/>
          <w:bCs w:val="0"/>
          <w:color w:val="auto"/>
          <w:sz w:val="32"/>
          <w:szCs w:val="32"/>
        </w:rPr>
      </w:pPr>
      <w:bookmarkStart w:id="35" w:name="_Toc4401"/>
      <w:r>
        <w:rPr>
          <w:rStyle w:val="20"/>
          <w:rFonts w:hint="eastAsia" w:ascii="楷体_GB2312" w:hAnsi="楷体_GB2312" w:eastAsia="楷体_GB2312" w:cs="楷体_GB2312"/>
          <w:b w:val="0"/>
          <w:bCs w:val="0"/>
          <w:color w:val="auto"/>
          <w:sz w:val="32"/>
          <w:szCs w:val="32"/>
        </w:rPr>
        <w:t>(</w:t>
      </w:r>
      <w:r>
        <w:rPr>
          <w:rStyle w:val="20"/>
          <w:rFonts w:hint="eastAsia" w:ascii="楷体_GB2312" w:hAnsi="楷体_GB2312" w:eastAsia="楷体_GB2312" w:cs="楷体_GB2312"/>
          <w:b w:val="0"/>
          <w:bCs w:val="0"/>
          <w:color w:val="auto"/>
          <w:sz w:val="32"/>
          <w:szCs w:val="32"/>
          <w:lang w:val="en-US" w:eastAsia="zh-CN"/>
        </w:rPr>
        <w:t>三</w:t>
      </w:r>
      <w:r>
        <w:rPr>
          <w:rStyle w:val="20"/>
          <w:rFonts w:hint="eastAsia" w:ascii="楷体_GB2312" w:hAnsi="楷体_GB2312" w:eastAsia="楷体_GB2312" w:cs="楷体_GB2312"/>
          <w:b w:val="0"/>
          <w:bCs w:val="0"/>
          <w:color w:val="auto"/>
          <w:sz w:val="32"/>
          <w:szCs w:val="32"/>
        </w:rPr>
        <w:t>)</w:t>
      </w:r>
      <w:r>
        <w:rPr>
          <w:rStyle w:val="20"/>
          <w:rFonts w:hint="eastAsia" w:ascii="楷体_GB2312" w:hAnsi="楷体_GB2312" w:eastAsia="楷体_GB2312" w:cs="楷体_GB2312"/>
          <w:b w:val="0"/>
          <w:bCs w:val="0"/>
          <w:color w:val="auto"/>
          <w:sz w:val="32"/>
          <w:szCs w:val="32"/>
          <w:lang w:val="en-US" w:eastAsia="zh-CN"/>
        </w:rPr>
        <w:t>高效益促进</w:t>
      </w:r>
      <w:r>
        <w:rPr>
          <w:rStyle w:val="20"/>
          <w:rFonts w:hint="eastAsia" w:ascii="楷体_GB2312" w:hAnsi="楷体_GB2312" w:eastAsia="楷体_GB2312" w:cs="楷体_GB2312"/>
          <w:b w:val="0"/>
          <w:bCs w:val="0"/>
          <w:color w:val="auto"/>
          <w:sz w:val="32"/>
          <w:szCs w:val="32"/>
        </w:rPr>
        <w:t>知识产权运用</w:t>
      </w:r>
      <w:r>
        <w:rPr>
          <w:rStyle w:val="20"/>
          <w:rFonts w:hint="eastAsia" w:ascii="楷体_GB2312" w:hAnsi="楷体_GB2312" w:eastAsia="楷体_GB2312" w:cs="楷体_GB2312"/>
          <w:b w:val="0"/>
          <w:bCs w:val="0"/>
          <w:color w:val="auto"/>
          <w:sz w:val="32"/>
          <w:szCs w:val="32"/>
          <w:lang w:eastAsia="zh-CN"/>
        </w:rPr>
        <w:t>，</w:t>
      </w:r>
      <w:r>
        <w:rPr>
          <w:rStyle w:val="20"/>
          <w:rFonts w:hint="eastAsia" w:ascii="楷体_GB2312" w:hAnsi="楷体_GB2312" w:eastAsia="楷体_GB2312" w:cs="楷体_GB2312"/>
          <w:b w:val="0"/>
          <w:bCs w:val="0"/>
          <w:color w:val="auto"/>
          <w:sz w:val="32"/>
          <w:szCs w:val="32"/>
          <w:lang w:val="en-US" w:eastAsia="zh-CN"/>
        </w:rPr>
        <w:t>构建</w:t>
      </w:r>
      <w:r>
        <w:rPr>
          <w:rStyle w:val="20"/>
          <w:rFonts w:hint="eastAsia" w:ascii="楷体_GB2312" w:hAnsi="楷体_GB2312" w:eastAsia="楷体_GB2312" w:cs="楷体_GB2312"/>
          <w:b w:val="0"/>
          <w:bCs w:val="0"/>
          <w:color w:val="auto"/>
          <w:sz w:val="32"/>
          <w:szCs w:val="32"/>
        </w:rPr>
        <w:t>创新生态体系。</w:t>
      </w:r>
      <w:bookmarkEnd w:id="35"/>
      <w:bookmarkStart w:id="36" w:name="_Toc4888"/>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0" w:beforeAutospacing="0" w:after="0" w:afterAutospacing="0" w:line="240" w:lineRule="auto"/>
        <w:ind w:left="0" w:right="0" w:firstLine="640" w:firstLineChars="200"/>
        <w:textAlignment w:val="auto"/>
        <w:outlineLvl w:val="1"/>
        <w:rPr>
          <w:rFonts w:hint="eastAsia" w:ascii="仿宋_GB2312" w:hAnsi="仿宋_GB2312" w:eastAsia="仿宋_GB2312" w:cs="仿宋_GB2312"/>
          <w:strike w:val="0"/>
          <w:dstrike w:val="0"/>
          <w:color w:val="auto"/>
          <w:sz w:val="32"/>
          <w:szCs w:val="32"/>
        </w:rPr>
      </w:pPr>
      <w:r>
        <w:rPr>
          <w:rStyle w:val="23"/>
          <w:rFonts w:hint="eastAsia"/>
          <w:b w:val="0"/>
          <w:bCs w:val="0"/>
          <w:color w:val="auto"/>
          <w:sz w:val="32"/>
          <w:szCs w:val="32"/>
        </w:rPr>
        <w:t>1.</w:t>
      </w:r>
      <w:r>
        <w:rPr>
          <w:rStyle w:val="23"/>
          <w:rFonts w:hint="eastAsia" w:eastAsia="仿宋_GB2312"/>
          <w:b w:val="0"/>
          <w:bCs w:val="0"/>
          <w:color w:val="auto"/>
          <w:sz w:val="32"/>
          <w:szCs w:val="32"/>
          <w:lang w:val="en-US" w:eastAsia="zh-CN"/>
        </w:rPr>
        <w:t>健全</w:t>
      </w:r>
      <w:r>
        <w:rPr>
          <w:rStyle w:val="23"/>
          <w:rFonts w:hint="eastAsia"/>
          <w:b w:val="0"/>
          <w:bCs w:val="0"/>
          <w:color w:val="auto"/>
          <w:sz w:val="32"/>
          <w:szCs w:val="32"/>
        </w:rPr>
        <w:t>知识产权运营</w:t>
      </w:r>
      <w:r>
        <w:rPr>
          <w:rStyle w:val="23"/>
          <w:rFonts w:hint="eastAsia" w:eastAsia="仿宋_GB2312"/>
          <w:b w:val="0"/>
          <w:bCs w:val="0"/>
          <w:color w:val="auto"/>
          <w:sz w:val="32"/>
          <w:szCs w:val="32"/>
          <w:lang w:eastAsia="zh-CN"/>
        </w:rPr>
        <w:t>服务</w:t>
      </w:r>
      <w:r>
        <w:rPr>
          <w:rStyle w:val="23"/>
          <w:rFonts w:hint="eastAsia"/>
          <w:b w:val="0"/>
          <w:bCs w:val="0"/>
          <w:color w:val="auto"/>
          <w:sz w:val="32"/>
          <w:szCs w:val="32"/>
        </w:rPr>
        <w:t>体系。</w:t>
      </w:r>
      <w:bookmarkEnd w:id="36"/>
      <w:r>
        <w:rPr>
          <w:rFonts w:hint="eastAsia" w:ascii="仿宋_GB2312" w:hAnsi="仿宋_GB2312" w:eastAsia="仿宋_GB2312" w:cs="仿宋_GB2312"/>
          <w:color w:val="auto"/>
          <w:sz w:val="32"/>
          <w:szCs w:val="32"/>
          <w:lang w:eastAsia="zh-CN"/>
        </w:rPr>
        <w:t>加快推进国家知识产权运营服务体系重点城市建设，</w:t>
      </w:r>
      <w:r>
        <w:rPr>
          <w:rFonts w:hint="eastAsia" w:ascii="仿宋_GB2312" w:hAnsi="仿宋_GB2312" w:eastAsia="仿宋_GB2312" w:cs="仿宋_GB2312"/>
          <w:color w:val="auto"/>
          <w:sz w:val="32"/>
          <w:szCs w:val="32"/>
        </w:rPr>
        <w:t>集中精力打造一批展现烟台资源优势、独具烟台特色的精品工程项目，</w:t>
      </w:r>
      <w:r>
        <w:rPr>
          <w:rFonts w:hint="eastAsia" w:ascii="仿宋_GB2312" w:hAnsi="仿宋_GB2312" w:eastAsia="仿宋_GB2312" w:cs="仿宋_GB2312"/>
          <w:color w:val="auto"/>
          <w:sz w:val="32"/>
          <w:szCs w:val="32"/>
          <w:lang w:eastAsia="zh-CN"/>
        </w:rPr>
        <w:t>引进和</w:t>
      </w:r>
      <w:r>
        <w:rPr>
          <w:rFonts w:hint="eastAsia" w:ascii="仿宋_GB2312" w:hAnsi="仿宋_GB2312" w:eastAsia="仿宋_GB2312" w:cs="仿宋_GB2312"/>
          <w:color w:val="auto"/>
          <w:sz w:val="32"/>
          <w:szCs w:val="32"/>
          <w:lang w:val="en-US" w:eastAsia="zh-CN"/>
        </w:rPr>
        <w:t>培育一批高端知识产权运营机构，推动烟台市知识产权投资运营基金健康发展，</w:t>
      </w:r>
      <w:r>
        <w:rPr>
          <w:rFonts w:hint="eastAsia" w:ascii="仿宋_GB2312" w:hAnsi="仿宋_GB2312" w:eastAsia="仿宋_GB2312" w:cs="仿宋_GB2312"/>
          <w:color w:val="auto"/>
          <w:sz w:val="32"/>
          <w:szCs w:val="32"/>
        </w:rPr>
        <w:t>布局设立</w:t>
      </w:r>
      <w:r>
        <w:rPr>
          <w:rFonts w:hint="eastAsia" w:ascii="仿宋_GB2312" w:hAnsi="仿宋_GB2312" w:eastAsia="仿宋_GB2312" w:cs="仿宋_GB2312"/>
          <w:color w:val="auto"/>
          <w:sz w:val="32"/>
          <w:szCs w:val="32"/>
          <w:lang w:val="en-US" w:eastAsia="zh-CN"/>
        </w:rPr>
        <w:t>产业知识产权</w:t>
      </w:r>
      <w:r>
        <w:rPr>
          <w:rFonts w:hint="eastAsia" w:ascii="仿宋_GB2312" w:hAnsi="仿宋_GB2312" w:eastAsia="仿宋_GB2312" w:cs="仿宋_GB2312"/>
          <w:color w:val="auto"/>
          <w:sz w:val="32"/>
          <w:szCs w:val="32"/>
        </w:rPr>
        <w:t>运营中心，搭建覆盖全</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的运营服务网络，打造东北亚国际知识产权运营服务平台。</w:t>
      </w:r>
      <w:r>
        <w:rPr>
          <w:rFonts w:hint="eastAsia" w:ascii="仿宋_GB2312" w:hAnsi="仿宋_GB2312" w:eastAsia="仿宋_GB2312" w:cs="仿宋_GB2312"/>
          <w:strike w:val="0"/>
          <w:dstrike w:val="0"/>
          <w:color w:val="auto"/>
          <w:sz w:val="32"/>
          <w:szCs w:val="32"/>
        </w:rPr>
        <w:t>全面构建规范化、市场化的知识产权运营服务体系，支撑区域经济和开放经济高质量发展。</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l2br w:val="nil"/>
              <w:tr2bl w:val="nil"/>
            </w:tcBorders>
            <w:vAlign w:val="top"/>
          </w:tcPr>
          <w:p>
            <w:pPr>
              <w:pStyle w:val="9"/>
              <w:keepNext w:val="0"/>
              <w:keepLines w:val="0"/>
              <w:pageBreakBefore w:val="0"/>
              <w:widowControl w:val="0"/>
              <w:kinsoku/>
              <w:wordWrap/>
              <w:overflowPunct/>
              <w:topLinePunct/>
              <w:autoSpaceDE/>
              <w:autoSpaceDN/>
              <w:bidi w:val="0"/>
              <w:adjustRightInd/>
              <w:snapToGrid/>
              <w:spacing w:beforeAutospacing="0" w:afterAutospacing="0" w:line="240" w:lineRule="auto"/>
              <w:ind w:firstLine="640" w:firstLineChars="200"/>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专栏4  产业知识产权运营中心建设工程</w:t>
            </w:r>
          </w:p>
          <w:p>
            <w:pPr>
              <w:pStyle w:val="9"/>
              <w:pageBreakBefore w:val="0"/>
              <w:kinsoku/>
              <w:wordWrap/>
              <w:overflowPunct/>
              <w:autoSpaceDE/>
              <w:autoSpaceDN/>
              <w:bidi w:val="0"/>
              <w:spacing w:beforeAutospacing="0" w:afterAutospacing="0" w:line="240" w:lineRule="auto"/>
              <w:ind w:firstLine="640" w:firstLineChars="200"/>
              <w:textAlignment w:val="auto"/>
              <w:rPr>
                <w:rStyle w:val="20"/>
                <w:rFonts w:hint="eastAsia"/>
                <w:b w:val="0"/>
                <w:bCs w:val="0"/>
                <w:color w:val="auto"/>
                <w:sz w:val="32"/>
                <w:szCs w:val="32"/>
                <w:highlight w:val="none"/>
                <w:lang w:val="en-US" w:eastAsia="zh-CN"/>
              </w:rPr>
            </w:pPr>
            <w:r>
              <w:rPr>
                <w:rFonts w:hint="default" w:ascii="仿宋_GB2312" w:hAnsi="仿宋_GB2312" w:eastAsia="仿宋_GB2312" w:cs="仿宋_GB2312"/>
                <w:color w:val="auto"/>
                <w:kern w:val="2"/>
                <w:sz w:val="32"/>
                <w:szCs w:val="32"/>
                <w:highlight w:val="none"/>
                <w:lang w:val="en-US" w:eastAsia="zh-CN" w:bidi="zh-CN"/>
              </w:rPr>
              <w:t>加快</w:t>
            </w:r>
            <w:r>
              <w:rPr>
                <w:rFonts w:hint="eastAsia" w:ascii="仿宋_GB2312" w:hAnsi="仿宋_GB2312" w:eastAsia="仿宋_GB2312" w:cs="仿宋_GB2312"/>
                <w:color w:val="auto"/>
                <w:kern w:val="2"/>
                <w:sz w:val="32"/>
                <w:szCs w:val="32"/>
                <w:highlight w:val="none"/>
                <w:lang w:val="en-US" w:eastAsia="zh-CN" w:bidi="zh-CN"/>
              </w:rPr>
              <w:t>生物医药、汽车等6个</w:t>
            </w:r>
            <w:r>
              <w:rPr>
                <w:rFonts w:hint="default" w:ascii="仿宋_GB2312" w:hAnsi="仿宋_GB2312" w:eastAsia="仿宋_GB2312" w:cs="仿宋_GB2312"/>
                <w:color w:val="auto"/>
                <w:kern w:val="2"/>
                <w:sz w:val="32"/>
                <w:szCs w:val="32"/>
                <w:highlight w:val="none"/>
                <w:lang w:val="en-US" w:eastAsia="zh-CN" w:bidi="zh-CN"/>
              </w:rPr>
              <w:t>重点产业知识产权运营中心建设</w:t>
            </w:r>
            <w:r>
              <w:rPr>
                <w:rFonts w:hint="eastAsia" w:ascii="仿宋_GB2312" w:hAnsi="仿宋_GB2312" w:eastAsia="仿宋_GB2312" w:cs="仿宋_GB2312"/>
                <w:color w:val="auto"/>
                <w:kern w:val="2"/>
                <w:sz w:val="32"/>
                <w:szCs w:val="32"/>
                <w:highlight w:val="none"/>
                <w:lang w:val="en-US" w:eastAsia="zh-CN" w:bidi="zh-CN"/>
              </w:rPr>
              <w:t>，采取股权投资方式对每家产业知识产权运营中心投资 500 万，</w:t>
            </w:r>
            <w:r>
              <w:rPr>
                <w:rFonts w:hint="default" w:ascii="仿宋_GB2312" w:hAnsi="仿宋_GB2312" w:eastAsia="仿宋_GB2312" w:cs="仿宋_GB2312"/>
                <w:color w:val="auto"/>
                <w:kern w:val="2"/>
                <w:sz w:val="32"/>
                <w:szCs w:val="32"/>
                <w:highlight w:val="none"/>
                <w:lang w:val="en-US" w:eastAsia="zh-CN" w:bidi="zh-CN"/>
              </w:rPr>
              <w:t>促进产学研知识产权协同运用，鼓励运营服务机构和平台提供从源头到产业化的知识产权运营全链条服务</w:t>
            </w:r>
            <w:r>
              <w:rPr>
                <w:rFonts w:hint="eastAsia" w:ascii="仿宋_GB2312" w:hAnsi="仿宋_GB2312" w:eastAsia="仿宋_GB2312" w:cs="仿宋_GB2312"/>
                <w:color w:val="auto"/>
                <w:kern w:val="2"/>
                <w:sz w:val="32"/>
                <w:szCs w:val="32"/>
                <w:highlight w:val="none"/>
                <w:lang w:val="en-US" w:eastAsia="zh-CN" w:bidi="zh-CN"/>
              </w:rPr>
              <w:t>，</w:t>
            </w:r>
            <w:r>
              <w:rPr>
                <w:rFonts w:hint="default" w:ascii="仿宋_GB2312" w:hAnsi="仿宋_GB2312" w:eastAsia="仿宋_GB2312" w:cs="仿宋_GB2312"/>
                <w:color w:val="auto"/>
                <w:kern w:val="2"/>
                <w:sz w:val="32"/>
                <w:szCs w:val="32"/>
                <w:highlight w:val="none"/>
                <w:lang w:val="en-US" w:eastAsia="zh-CN" w:bidi="zh-CN"/>
              </w:rPr>
              <w:t>助力研发创新和新技术专利推广应用。</w:t>
            </w:r>
            <w:r>
              <w:rPr>
                <w:rFonts w:hint="eastAsia" w:ascii="仿宋_GB2312" w:hAnsi="仿宋_GB2312" w:eastAsia="仿宋_GB2312" w:cs="仿宋_GB2312"/>
                <w:color w:val="auto"/>
                <w:kern w:val="2"/>
                <w:sz w:val="32"/>
                <w:szCs w:val="32"/>
                <w:highlight w:val="none"/>
                <w:lang w:val="en-US" w:eastAsia="zh-CN" w:bidi="zh-CN"/>
              </w:rPr>
              <w:t>每年对于成效突出的运营中心给予最高50万元的奖励。</w:t>
            </w:r>
          </w:p>
        </w:tc>
      </w:tr>
    </w:tbl>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strike/>
          <w:dstrike w:val="0"/>
          <w:color w:val="auto"/>
          <w:sz w:val="32"/>
          <w:szCs w:val="32"/>
          <w:lang w:eastAsia="zh-CN"/>
        </w:rPr>
      </w:pPr>
      <w:bookmarkStart w:id="37" w:name="_Toc5329"/>
      <w:r>
        <w:rPr>
          <w:rStyle w:val="23"/>
          <w:rFonts w:hint="eastAsia"/>
          <w:b w:val="0"/>
          <w:bCs w:val="0"/>
          <w:color w:val="auto"/>
          <w:sz w:val="32"/>
          <w:szCs w:val="32"/>
        </w:rPr>
        <w:t>2.促进知识产权转移转化。</w:t>
      </w:r>
      <w:bookmarkEnd w:id="37"/>
      <w:r>
        <w:rPr>
          <w:rFonts w:hint="eastAsia" w:ascii="仿宋_GB2312" w:hAnsi="仿宋_GB2312" w:eastAsia="仿宋_GB2312" w:cs="仿宋_GB2312"/>
          <w:color w:val="auto"/>
          <w:sz w:val="32"/>
          <w:szCs w:val="32"/>
        </w:rPr>
        <w:t>落实知识产权专员机制，强化重大科研项目科技成果的知识产权布局。</w:t>
      </w:r>
      <w:r>
        <w:rPr>
          <w:rFonts w:hint="eastAsia" w:ascii="仿宋_GB2312" w:hAnsi="仿宋_GB2312" w:eastAsia="仿宋_GB2312" w:cs="仿宋_GB2312"/>
          <w:color w:val="auto"/>
          <w:sz w:val="32"/>
          <w:szCs w:val="32"/>
          <w:lang w:eastAsia="zh-CN"/>
        </w:rPr>
        <w:t>围绕烟台大学、鲁东大学等省专利转移转化试点建设项目，</w:t>
      </w:r>
      <w:r>
        <w:rPr>
          <w:rFonts w:hint="eastAsia" w:ascii="仿宋_GB2312" w:hAnsi="仿宋_GB2312" w:eastAsia="仿宋_GB2312" w:cs="仿宋_GB2312"/>
          <w:color w:val="auto"/>
          <w:sz w:val="32"/>
          <w:szCs w:val="32"/>
        </w:rPr>
        <w:t>建设高校院所知识产权运营库，畅通中小企业专利技术获取渠道。支持开展在线技术交易，推广专业知识产权运营服务人才（技术经理人）全程参与的科技成果转化服务模式。充分发挥产业知识产权运营中心（平台）、产业知识产权联盟、行业协会等促进科技成果转化的媒介作用。积极实施国家专利转化专项计划，探索实施专利开放许可制度和运行机制，拓宽知识产权转化运用供需渠道</w:t>
      </w:r>
      <w:r>
        <w:rPr>
          <w:rFonts w:hint="eastAsia" w:ascii="仿宋_GB2312" w:hAnsi="仿宋_GB2312" w:eastAsia="仿宋_GB2312" w:cs="仿宋_GB2312"/>
          <w:color w:val="auto"/>
          <w:sz w:val="32"/>
          <w:szCs w:val="32"/>
          <w:lang w:eastAsia="zh-CN"/>
        </w:rPr>
        <w:t>。</w:t>
      </w:r>
    </w:p>
    <w:p>
      <w:pPr>
        <w:keepNext w:val="0"/>
        <w:keepLines w:val="0"/>
        <w:pageBreakBefore w:val="0"/>
        <w:widowControl/>
        <w:suppressLineNumbers w:val="0"/>
        <w:kinsoku/>
        <w:wordWrap/>
        <w:overflowPunct/>
        <w:autoSpaceDE/>
        <w:autoSpaceDN/>
        <w:bidi w:val="0"/>
        <w:spacing w:beforeAutospacing="0" w:afterAutospacing="0" w:line="240" w:lineRule="auto"/>
        <w:ind w:firstLine="640" w:firstLineChars="200"/>
        <w:jc w:val="left"/>
        <w:textAlignment w:val="auto"/>
        <w:rPr>
          <w:rFonts w:hint="eastAsia" w:ascii="仿宋_GB2312" w:hAnsi="仿宋_GB2312" w:eastAsia="仿宋_GB2312" w:cs="仿宋_GB2312"/>
          <w:strike/>
          <w:dstrike w:val="0"/>
          <w:color w:val="auto"/>
          <w:sz w:val="32"/>
          <w:szCs w:val="32"/>
        </w:rPr>
      </w:pPr>
      <w:bookmarkStart w:id="38" w:name="_Toc5961"/>
      <w:r>
        <w:rPr>
          <w:rStyle w:val="23"/>
          <w:rFonts w:hint="eastAsia"/>
          <w:b w:val="0"/>
          <w:bCs w:val="0"/>
          <w:color w:val="auto"/>
          <w:sz w:val="32"/>
          <w:szCs w:val="32"/>
        </w:rPr>
        <w:t>3.</w:t>
      </w:r>
      <w:r>
        <w:rPr>
          <w:rStyle w:val="23"/>
          <w:rFonts w:hint="eastAsia" w:eastAsia="仿宋_GB2312"/>
          <w:b w:val="0"/>
          <w:bCs w:val="0"/>
          <w:color w:val="auto"/>
          <w:sz w:val="32"/>
          <w:szCs w:val="32"/>
          <w:lang w:val="en-US" w:eastAsia="zh-CN"/>
        </w:rPr>
        <w:t>推进</w:t>
      </w:r>
      <w:r>
        <w:rPr>
          <w:rStyle w:val="23"/>
          <w:rFonts w:hint="eastAsia"/>
          <w:b w:val="0"/>
          <w:bCs w:val="0"/>
          <w:color w:val="auto"/>
          <w:sz w:val="32"/>
          <w:szCs w:val="32"/>
        </w:rPr>
        <w:t>知识产权金融</w:t>
      </w:r>
      <w:r>
        <w:rPr>
          <w:rStyle w:val="23"/>
          <w:rFonts w:hint="eastAsia" w:eastAsia="仿宋_GB2312"/>
          <w:b w:val="0"/>
          <w:bCs w:val="0"/>
          <w:color w:val="auto"/>
          <w:sz w:val="32"/>
          <w:szCs w:val="32"/>
          <w:lang w:val="en-US" w:eastAsia="zh-CN"/>
        </w:rPr>
        <w:t>创新</w:t>
      </w:r>
      <w:r>
        <w:rPr>
          <w:rStyle w:val="23"/>
          <w:rFonts w:hint="eastAsia"/>
          <w:b w:val="0"/>
          <w:bCs w:val="0"/>
          <w:color w:val="auto"/>
          <w:sz w:val="32"/>
          <w:szCs w:val="32"/>
        </w:rPr>
        <w:t>。</w:t>
      </w:r>
      <w:bookmarkEnd w:id="38"/>
      <w:r>
        <w:rPr>
          <w:rFonts w:hint="eastAsia" w:ascii="仿宋_GB2312" w:hAnsi="仿宋_GB2312" w:eastAsia="仿宋_GB2312" w:cs="仿宋_GB2312"/>
          <w:color w:val="auto"/>
          <w:sz w:val="32"/>
          <w:szCs w:val="32"/>
          <w:lang w:eastAsia="zh-CN"/>
        </w:rPr>
        <w:t>健全知识产权质押融资管理制度及激励机制,丰富知识产权金融产品供给，以烟台开发区、高新区“国家知识产权质押融资试点园区”为核心区域，打通集知识产权交易、评估、质押融资、保险、证券化等于一体的金融链条。</w:t>
      </w:r>
      <w:r>
        <w:rPr>
          <w:rFonts w:hint="eastAsia" w:ascii="仿宋_GB2312" w:hAnsi="仿宋_GB2312" w:eastAsia="仿宋_GB2312" w:cs="仿宋_GB2312"/>
          <w:color w:val="auto"/>
          <w:sz w:val="32"/>
          <w:szCs w:val="32"/>
        </w:rPr>
        <w:t>鼓励银行机构扩大知识产权质押贷款规模，帮助缓解中小微企业融资问题。健全知识产权质押融资风险管理机制，完善质物处置机制。</w:t>
      </w:r>
      <w:r>
        <w:rPr>
          <w:rFonts w:hint="eastAsia" w:ascii="仿宋_GB2312" w:hAnsi="仿宋_GB2312" w:eastAsia="仿宋_GB2312" w:cs="仿宋_GB2312"/>
          <w:color w:val="auto"/>
          <w:sz w:val="32"/>
          <w:szCs w:val="32"/>
          <w:lang w:val="en-US" w:eastAsia="zh-CN"/>
        </w:rPr>
        <w:t>支持保险机构深入开展专利保险业务，拓展知识产权保险范围，鼓励企业投保专利保险。</w:t>
      </w:r>
      <w:r>
        <w:rPr>
          <w:rFonts w:hint="eastAsia" w:ascii="仿宋_GB2312" w:hAnsi="仿宋_GB2312" w:eastAsia="仿宋_GB2312" w:cs="仿宋_GB2312"/>
          <w:color w:val="auto"/>
          <w:sz w:val="32"/>
          <w:szCs w:val="32"/>
        </w:rPr>
        <w:t>加大基于供应链金融、融资租赁、信托等金融形式的知识产权证券化工作探索力度。支持专业机构建立合理的知识产权资产估值机制。</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bookmarkStart w:id="39" w:name="_Toc24357"/>
      <w:r>
        <w:rPr>
          <w:rStyle w:val="23"/>
          <w:rFonts w:hint="eastAsia"/>
          <w:b w:val="0"/>
          <w:bCs w:val="0"/>
          <w:color w:val="auto"/>
          <w:sz w:val="32"/>
          <w:szCs w:val="32"/>
          <w:lang w:val="en-US" w:eastAsia="zh-CN"/>
        </w:rPr>
        <w:t>4.</w:t>
      </w:r>
      <w:r>
        <w:rPr>
          <w:rStyle w:val="23"/>
          <w:rFonts w:hint="eastAsia"/>
          <w:b w:val="0"/>
          <w:bCs w:val="0"/>
          <w:color w:val="auto"/>
          <w:sz w:val="32"/>
          <w:szCs w:val="32"/>
        </w:rPr>
        <w:t>强化产业知识产权联盟建设。</w:t>
      </w:r>
      <w:bookmarkEnd w:id="39"/>
      <w:r>
        <w:rPr>
          <w:rFonts w:hint="eastAsia" w:ascii="仿宋_GB2312" w:hAnsi="仿宋_GB2312" w:eastAsia="仿宋_GB2312" w:cs="仿宋_GB2312"/>
          <w:b w:val="0"/>
          <w:bCs w:val="0"/>
          <w:i w:val="0"/>
          <w:iCs w:val="0"/>
          <w:caps w:val="0"/>
          <w:color w:val="auto"/>
          <w:spacing w:val="0"/>
          <w:sz w:val="32"/>
          <w:szCs w:val="32"/>
          <w:shd w:val="clear" w:fill="FFFFFF"/>
        </w:rPr>
        <w:t>推</w:t>
      </w:r>
      <w:r>
        <w:rPr>
          <w:rFonts w:hint="eastAsia" w:ascii="仿宋_GB2312" w:hAnsi="仿宋_GB2312" w:eastAsia="仿宋_GB2312" w:cs="仿宋_GB2312"/>
          <w:i w:val="0"/>
          <w:iCs w:val="0"/>
          <w:caps w:val="0"/>
          <w:color w:val="auto"/>
          <w:spacing w:val="0"/>
          <w:sz w:val="32"/>
          <w:szCs w:val="32"/>
          <w:shd w:val="clear" w:fill="FFFFFF"/>
        </w:rPr>
        <w:t>动、扶持我市重点产业建设知识产权联盟，开展专利分析与运营，提高我市产业抵御知识产权风险和运用知识产权的能力。鼓励</w:t>
      </w:r>
      <w:r>
        <w:rPr>
          <w:rFonts w:hint="eastAsia" w:ascii="仿宋_GB2312" w:hAnsi="仿宋_GB2312" w:eastAsia="仿宋_GB2312" w:cs="仿宋_GB2312"/>
          <w:i w:val="0"/>
          <w:iCs w:val="0"/>
          <w:caps w:val="0"/>
          <w:strike/>
          <w:dstrike w:val="0"/>
          <w:color w:val="auto"/>
          <w:spacing w:val="0"/>
          <w:sz w:val="32"/>
          <w:szCs w:val="32"/>
          <w:shd w:val="clear" w:fill="FFFFFF"/>
        </w:rPr>
        <w:t>、支持</w:t>
      </w:r>
      <w:r>
        <w:rPr>
          <w:rFonts w:hint="eastAsia" w:ascii="仿宋_GB2312" w:hAnsi="仿宋_GB2312" w:eastAsia="仿宋_GB2312" w:cs="仿宋_GB2312"/>
          <w:i w:val="0"/>
          <w:iCs w:val="0"/>
          <w:caps w:val="0"/>
          <w:color w:val="auto"/>
          <w:spacing w:val="0"/>
          <w:sz w:val="32"/>
          <w:szCs w:val="32"/>
          <w:shd w:val="clear" w:fill="FFFFFF"/>
        </w:rPr>
        <w:t>我市各产业联盟内部成立专利联盟或标准联盟，推动技术专利化、专利技术标准化、国内标准国际化，提升产业的国际竞争力水平。</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outlineLvl w:val="1"/>
        <w:rPr>
          <w:rStyle w:val="20"/>
          <w:rFonts w:hint="eastAsia"/>
          <w:b w:val="0"/>
          <w:bCs w:val="0"/>
          <w:color w:val="auto"/>
          <w:sz w:val="32"/>
          <w:szCs w:val="32"/>
        </w:rPr>
      </w:pPr>
      <w:bookmarkStart w:id="40" w:name="_Toc10037"/>
      <w:r>
        <w:rPr>
          <w:rStyle w:val="20"/>
          <w:rFonts w:hint="eastAsia"/>
          <w:b w:val="0"/>
          <w:bCs w:val="0"/>
          <w:color w:val="auto"/>
          <w:sz w:val="32"/>
          <w:szCs w:val="32"/>
        </w:rPr>
        <w:t>(</w:t>
      </w:r>
      <w:r>
        <w:rPr>
          <w:rStyle w:val="20"/>
          <w:rFonts w:hint="eastAsia"/>
          <w:b w:val="0"/>
          <w:bCs w:val="0"/>
          <w:color w:val="auto"/>
          <w:sz w:val="32"/>
          <w:szCs w:val="32"/>
          <w:lang w:val="en-US" w:eastAsia="zh-CN"/>
        </w:rPr>
        <w:t>四</w:t>
      </w:r>
      <w:r>
        <w:rPr>
          <w:rStyle w:val="20"/>
          <w:rFonts w:hint="eastAsia"/>
          <w:b w:val="0"/>
          <w:bCs w:val="0"/>
          <w:color w:val="auto"/>
          <w:sz w:val="32"/>
          <w:szCs w:val="32"/>
        </w:rPr>
        <w:t>)</w:t>
      </w:r>
      <w:r>
        <w:rPr>
          <w:rStyle w:val="20"/>
          <w:rFonts w:hint="eastAsia"/>
          <w:b w:val="0"/>
          <w:bCs w:val="0"/>
          <w:color w:val="auto"/>
          <w:sz w:val="32"/>
          <w:szCs w:val="32"/>
          <w:lang w:val="en-US" w:eastAsia="zh-CN"/>
        </w:rPr>
        <w:t>高水平加强</w:t>
      </w:r>
      <w:r>
        <w:rPr>
          <w:rStyle w:val="20"/>
          <w:rFonts w:hint="eastAsia"/>
          <w:b w:val="0"/>
          <w:bCs w:val="0"/>
          <w:color w:val="auto"/>
          <w:sz w:val="32"/>
          <w:szCs w:val="32"/>
        </w:rPr>
        <w:t>知识产权服务</w:t>
      </w:r>
      <w:r>
        <w:rPr>
          <w:rStyle w:val="20"/>
          <w:rFonts w:hint="eastAsia"/>
          <w:b w:val="0"/>
          <w:bCs w:val="0"/>
          <w:color w:val="auto"/>
          <w:sz w:val="32"/>
          <w:szCs w:val="32"/>
          <w:lang w:eastAsia="zh-CN"/>
        </w:rPr>
        <w:t>，</w:t>
      </w:r>
      <w:r>
        <w:rPr>
          <w:rStyle w:val="20"/>
          <w:rFonts w:hint="eastAsia"/>
          <w:b w:val="0"/>
          <w:bCs w:val="0"/>
          <w:color w:val="auto"/>
          <w:sz w:val="32"/>
          <w:szCs w:val="32"/>
          <w:lang w:val="en-US" w:eastAsia="zh-CN"/>
        </w:rPr>
        <w:t>打造</w:t>
      </w:r>
      <w:r>
        <w:rPr>
          <w:rStyle w:val="20"/>
          <w:rFonts w:hint="eastAsia"/>
          <w:b w:val="0"/>
          <w:bCs w:val="0"/>
          <w:color w:val="auto"/>
          <w:sz w:val="32"/>
          <w:szCs w:val="32"/>
        </w:rPr>
        <w:t>服务业集聚</w:t>
      </w:r>
      <w:r>
        <w:rPr>
          <w:rStyle w:val="20"/>
          <w:rFonts w:hint="eastAsia"/>
          <w:b w:val="0"/>
          <w:bCs w:val="0"/>
          <w:color w:val="auto"/>
          <w:sz w:val="32"/>
          <w:szCs w:val="32"/>
          <w:lang w:val="en-US" w:eastAsia="zh-CN"/>
        </w:rPr>
        <w:t>区</w:t>
      </w:r>
      <w:bookmarkEnd w:id="40"/>
      <w:r>
        <w:rPr>
          <w:rStyle w:val="20"/>
          <w:rFonts w:hint="eastAsia"/>
          <w:b w:val="0"/>
          <w:bCs w:val="0"/>
          <w:color w:val="auto"/>
          <w:sz w:val="32"/>
          <w:szCs w:val="32"/>
          <w:lang w:val="en-US" w:eastAsia="zh-CN"/>
        </w:rPr>
        <w:t>。</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bookmarkStart w:id="41" w:name="_Toc1998"/>
      <w:r>
        <w:rPr>
          <w:rStyle w:val="23"/>
          <w:rFonts w:hint="eastAsia"/>
          <w:b w:val="0"/>
          <w:bCs w:val="0"/>
          <w:color w:val="auto"/>
          <w:sz w:val="32"/>
          <w:szCs w:val="32"/>
          <w:lang w:val="en-US" w:eastAsia="zh-CN"/>
        </w:rPr>
        <w:t>1.建设</w:t>
      </w:r>
      <w:r>
        <w:rPr>
          <w:rStyle w:val="23"/>
          <w:rFonts w:hint="eastAsia"/>
          <w:b w:val="0"/>
          <w:bCs w:val="0"/>
          <w:color w:val="auto"/>
          <w:sz w:val="32"/>
          <w:szCs w:val="32"/>
        </w:rPr>
        <w:t>知识产权服务业集聚区。</w:t>
      </w:r>
      <w:bookmarkEnd w:id="41"/>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打造烟台市知识产权运营服务体系核心承载区，强化山东自贸区烟台片区知识产权服务业集聚区载体基础设施建设，实现载体面积 3000 平方米以上。制定集聚区管理和项目实施方案，出台支持集聚区发展的政策措施，通过购买服务、项目奖补、成本补贴等多种方式，培育和引进各类优质知识产权服务机构入驻集聚载体，形成协同发展的集聚效应。加强对申请入驻机构的审核，强化日常管理，建立知识产权服务机构入驻和迁出的动态监测、奖励和退出等管理机制。</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color w:val="auto"/>
          <w:sz w:val="32"/>
          <w:szCs w:val="32"/>
        </w:rPr>
      </w:pPr>
      <w:bookmarkStart w:id="42" w:name="_Toc13463"/>
      <w:r>
        <w:rPr>
          <w:rStyle w:val="23"/>
          <w:rFonts w:hint="eastAsia"/>
          <w:b w:val="0"/>
          <w:bCs w:val="0"/>
          <w:color w:val="auto"/>
          <w:sz w:val="32"/>
          <w:szCs w:val="32"/>
          <w:lang w:val="en-US" w:eastAsia="zh-CN"/>
        </w:rPr>
        <w:t>2.建设烟台市知识产权运营公共服务平台。</w:t>
      </w:r>
      <w:bookmarkEnd w:id="42"/>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依托市知识产权事业发展中心，联合国家平台资源开展合作共建，打造烟台市知识产权运营公共服务平台。平台负责统筹知识产权服务业集聚区和集聚载体建设管理；组织实施知识产权运营服务体系建设有关政策；利用国家知识产权运营公共服务平台数据资源，按需建设知识产权可视化数据大屏；集聚相关服务机构，开展小微企业知识产权托管、中小企业专利技术对接等公共服务。平台与集聚区建设共建互补，实现“线上大平台、线下大市场”的全方位、全过程、多元化服务格局，推动知识产权服务与园区经济、产业发展深度融合。</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color w:val="auto"/>
          <w:sz w:val="32"/>
          <w:szCs w:val="32"/>
        </w:rPr>
      </w:pPr>
      <w:bookmarkStart w:id="43" w:name="_Toc6063"/>
      <w:r>
        <w:rPr>
          <w:rStyle w:val="23"/>
          <w:rFonts w:hint="eastAsia"/>
          <w:b w:val="0"/>
          <w:bCs w:val="0"/>
          <w:color w:val="auto"/>
          <w:sz w:val="32"/>
          <w:szCs w:val="32"/>
          <w:lang w:val="en-US" w:eastAsia="zh-CN"/>
        </w:rPr>
        <w:t>3</w:t>
      </w:r>
      <w:r>
        <w:rPr>
          <w:rStyle w:val="23"/>
          <w:rFonts w:hint="eastAsia"/>
          <w:b w:val="0"/>
          <w:bCs w:val="0"/>
          <w:color w:val="auto"/>
          <w:sz w:val="32"/>
          <w:szCs w:val="32"/>
        </w:rPr>
        <w:t>.</w:t>
      </w:r>
      <w:r>
        <w:rPr>
          <w:rStyle w:val="23"/>
          <w:rFonts w:hint="eastAsia" w:eastAsia="仿宋_GB2312"/>
          <w:b w:val="0"/>
          <w:bCs w:val="0"/>
          <w:color w:val="auto"/>
          <w:sz w:val="32"/>
          <w:szCs w:val="32"/>
          <w:lang w:val="en-US" w:eastAsia="zh-CN"/>
        </w:rPr>
        <w:t>大力推动</w:t>
      </w:r>
      <w:r>
        <w:rPr>
          <w:rStyle w:val="23"/>
          <w:rFonts w:hint="eastAsia"/>
          <w:b w:val="0"/>
          <w:bCs w:val="0"/>
          <w:color w:val="auto"/>
          <w:sz w:val="32"/>
          <w:szCs w:val="32"/>
        </w:rPr>
        <w:t>知识产权服务业</w:t>
      </w:r>
      <w:r>
        <w:rPr>
          <w:rStyle w:val="23"/>
          <w:rFonts w:hint="eastAsia" w:eastAsia="仿宋_GB2312"/>
          <w:b w:val="0"/>
          <w:bCs w:val="0"/>
          <w:color w:val="auto"/>
          <w:sz w:val="32"/>
          <w:szCs w:val="32"/>
          <w:lang w:val="en-US" w:eastAsia="zh-CN"/>
        </w:rPr>
        <w:t>发展</w:t>
      </w:r>
      <w:r>
        <w:rPr>
          <w:rStyle w:val="23"/>
          <w:rFonts w:hint="eastAsia"/>
          <w:b w:val="0"/>
          <w:bCs w:val="0"/>
          <w:color w:val="auto"/>
          <w:sz w:val="32"/>
          <w:szCs w:val="32"/>
        </w:rPr>
        <w:t>。</w:t>
      </w:r>
      <w:bookmarkEnd w:id="43"/>
      <w:r>
        <w:rPr>
          <w:rFonts w:hint="eastAsia" w:ascii="仿宋_GB2312" w:hAnsi="仿宋_GB2312" w:eastAsia="仿宋_GB2312" w:cs="仿宋_GB2312"/>
          <w:b w:val="0"/>
          <w:bCs w:val="0"/>
          <w:color w:val="auto"/>
          <w:sz w:val="32"/>
          <w:szCs w:val="32"/>
          <w:lang w:val="en-US" w:eastAsia="zh-CN"/>
        </w:rPr>
        <w:t>聚焦重点区域，引进国内外高端知识产权服务机构，优化知识产权服务业聚集区建设，引导知识产权服务链上下游优势互补、多业态协同发展。加强对知识产权服务机构和从业人员的公益性培训和高端业务培训。加强“双随机、一公开”监管，规范专利、商标代理行业执业行为，加强专利、商标代理服务机构事中事后监管。建设知识产权公证法律服务的线上、线下平台，实现多手段、多平台服务。鼓励知识产权服务机构为创新主体提供全链条、专业化知识产权服务，支持企业创新发展和产业转型升级。</w:t>
      </w:r>
      <w:r>
        <w:rPr>
          <w:rFonts w:hint="eastAsia" w:ascii="仿宋_GB2312" w:hAnsi="仿宋_GB2312" w:eastAsia="仿宋_GB2312" w:cs="仿宋_GB2312"/>
          <w:b w:val="0"/>
          <w:bCs w:val="0"/>
          <w:color w:val="auto"/>
          <w:sz w:val="32"/>
          <w:szCs w:val="32"/>
        </w:rPr>
        <w:t>探索在中国(</w:t>
      </w:r>
      <w:r>
        <w:rPr>
          <w:rFonts w:hint="eastAsia" w:ascii="仿宋_GB2312" w:hAnsi="仿宋_GB2312" w:eastAsia="仿宋_GB2312" w:cs="仿宋_GB2312"/>
          <w:b w:val="0"/>
          <w:bCs w:val="0"/>
          <w:color w:val="auto"/>
          <w:sz w:val="32"/>
          <w:szCs w:val="32"/>
          <w:lang w:eastAsia="zh-CN"/>
        </w:rPr>
        <w:t>烟台</w:t>
      </w:r>
      <w:r>
        <w:rPr>
          <w:rFonts w:hint="eastAsia" w:ascii="仿宋_GB2312" w:hAnsi="仿宋_GB2312" w:eastAsia="仿宋_GB2312" w:cs="仿宋_GB2312"/>
          <w:b w:val="0"/>
          <w:bCs w:val="0"/>
          <w:color w:val="auto"/>
          <w:sz w:val="32"/>
          <w:szCs w:val="32"/>
        </w:rPr>
        <w:t>)自由贸易试验区开展外国人参加专利代理师资格考试和外国专利代理机构在华设立常驻代表机构改革试点。</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color w:val="auto"/>
          <w:sz w:val="32"/>
          <w:szCs w:val="32"/>
        </w:rPr>
      </w:pPr>
      <w:bookmarkStart w:id="44" w:name="_Toc29303"/>
      <w:r>
        <w:rPr>
          <w:rStyle w:val="23"/>
          <w:rFonts w:hint="eastAsia"/>
          <w:b w:val="0"/>
          <w:bCs w:val="0"/>
          <w:color w:val="auto"/>
          <w:sz w:val="32"/>
          <w:szCs w:val="32"/>
          <w:lang w:val="en-US" w:eastAsia="zh-CN"/>
        </w:rPr>
        <w:t>4</w:t>
      </w:r>
      <w:r>
        <w:rPr>
          <w:rStyle w:val="23"/>
          <w:rFonts w:hint="eastAsia"/>
          <w:b w:val="0"/>
          <w:bCs w:val="0"/>
          <w:color w:val="auto"/>
          <w:sz w:val="32"/>
          <w:szCs w:val="32"/>
        </w:rPr>
        <w:t>.加强知识产权服务监管。</w:t>
      </w:r>
      <w:bookmarkEnd w:id="44"/>
      <w:r>
        <w:rPr>
          <w:rFonts w:hint="eastAsia" w:ascii="仿宋_GB2312" w:hAnsi="仿宋_GB2312" w:eastAsia="仿宋_GB2312" w:cs="仿宋_GB2312"/>
          <w:b w:val="0"/>
          <w:bCs w:val="0"/>
          <w:color w:val="auto"/>
          <w:sz w:val="32"/>
          <w:szCs w:val="32"/>
        </w:rPr>
        <w:t>完善知识产权服务行业监管机制，建立服务业名录库和统计监测体系，强化知识产权服务行业动态监管。严厉打击不以保护创新为目的的非正常专利申请，依法驳回一批不以使用为目的的恶意商标注册申请行为。依法依规查处无资质专利代理、以不正当手段招揽业务、非正常申请、挂证等违法违规行为。引导“互联网+”网络平台合法合规从事知识产权服务。健全知识产权服务机构信息公示和信用监管机制，健全专利、商标代理信用档案，推进信用联合惩戒措施。有序开展专利、商标代理“双随机、一公开”检查工作。</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outlineLvl w:val="1"/>
        <w:rPr>
          <w:rFonts w:hint="eastAsia"/>
          <w:color w:val="auto"/>
          <w:lang w:val="en-US" w:eastAsia="zh-CN"/>
        </w:rPr>
      </w:pPr>
      <w:bookmarkStart w:id="45" w:name="_Toc21664"/>
      <w:r>
        <w:rPr>
          <w:rStyle w:val="20"/>
          <w:rFonts w:hint="eastAsia"/>
          <w:b w:val="0"/>
          <w:bCs w:val="0"/>
          <w:color w:val="auto"/>
          <w:sz w:val="32"/>
          <w:szCs w:val="32"/>
        </w:rPr>
        <w:t>(</w:t>
      </w:r>
      <w:r>
        <w:rPr>
          <w:rStyle w:val="20"/>
          <w:rFonts w:hint="eastAsia"/>
          <w:b w:val="0"/>
          <w:bCs w:val="0"/>
          <w:color w:val="auto"/>
          <w:sz w:val="32"/>
          <w:szCs w:val="32"/>
          <w:lang w:val="en-US" w:eastAsia="zh-CN"/>
        </w:rPr>
        <w:t>五</w:t>
      </w:r>
      <w:r>
        <w:rPr>
          <w:rStyle w:val="20"/>
          <w:rFonts w:hint="eastAsia"/>
          <w:b w:val="0"/>
          <w:bCs w:val="0"/>
          <w:color w:val="auto"/>
          <w:sz w:val="32"/>
          <w:szCs w:val="32"/>
        </w:rPr>
        <w:t>)</w:t>
      </w:r>
      <w:r>
        <w:rPr>
          <w:rStyle w:val="20"/>
          <w:rFonts w:hint="eastAsia"/>
          <w:b w:val="0"/>
          <w:bCs w:val="0"/>
          <w:color w:val="auto"/>
          <w:sz w:val="32"/>
          <w:szCs w:val="32"/>
          <w:lang w:val="en-US" w:eastAsia="zh-CN"/>
        </w:rPr>
        <w:t>高保障</w:t>
      </w:r>
      <w:r>
        <w:rPr>
          <w:rStyle w:val="20"/>
          <w:rFonts w:hint="eastAsia" w:eastAsia="楷体"/>
          <w:b w:val="0"/>
          <w:bCs w:val="0"/>
          <w:color w:val="auto"/>
          <w:sz w:val="32"/>
          <w:szCs w:val="32"/>
          <w:lang w:eastAsia="zh-CN"/>
        </w:rPr>
        <w:t>完善</w:t>
      </w:r>
      <w:r>
        <w:rPr>
          <w:rStyle w:val="20"/>
          <w:rFonts w:hint="eastAsia"/>
          <w:b w:val="0"/>
          <w:bCs w:val="0"/>
          <w:color w:val="auto"/>
          <w:sz w:val="32"/>
          <w:szCs w:val="32"/>
        </w:rPr>
        <w:t>知识产权文化和人才建设</w:t>
      </w:r>
      <w:r>
        <w:rPr>
          <w:rStyle w:val="20"/>
          <w:rFonts w:hint="eastAsia"/>
          <w:b w:val="0"/>
          <w:bCs w:val="0"/>
          <w:color w:val="auto"/>
          <w:sz w:val="32"/>
          <w:szCs w:val="32"/>
          <w:lang w:eastAsia="zh-CN"/>
        </w:rPr>
        <w:t>，</w:t>
      </w:r>
      <w:r>
        <w:rPr>
          <w:rStyle w:val="20"/>
          <w:rFonts w:hint="eastAsia"/>
          <w:b w:val="0"/>
          <w:bCs w:val="0"/>
          <w:color w:val="auto"/>
          <w:sz w:val="32"/>
          <w:szCs w:val="32"/>
          <w:lang w:val="en-US" w:eastAsia="zh-CN"/>
        </w:rPr>
        <w:t>夯实发展基础</w:t>
      </w:r>
      <w:bookmarkEnd w:id="45"/>
      <w:r>
        <w:rPr>
          <w:rStyle w:val="20"/>
          <w:rFonts w:hint="eastAsia"/>
          <w:b w:val="0"/>
          <w:bCs w:val="0"/>
          <w:color w:val="auto"/>
          <w:sz w:val="32"/>
          <w:szCs w:val="32"/>
          <w:lang w:val="en-US" w:eastAsia="zh-CN"/>
        </w:rPr>
        <w:t>。</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color w:val="auto"/>
          <w:sz w:val="32"/>
          <w:szCs w:val="32"/>
        </w:rPr>
      </w:pPr>
      <w:bookmarkStart w:id="46" w:name="_Toc6805"/>
      <w:r>
        <w:rPr>
          <w:rStyle w:val="23"/>
          <w:rFonts w:hint="eastAsia"/>
          <w:b w:val="0"/>
          <w:bCs w:val="0"/>
          <w:color w:val="auto"/>
          <w:sz w:val="32"/>
          <w:szCs w:val="32"/>
        </w:rPr>
        <w:t>1.</w:t>
      </w:r>
      <w:r>
        <w:rPr>
          <w:rStyle w:val="23"/>
          <w:rFonts w:hint="eastAsia" w:eastAsia="仿宋_GB2312"/>
          <w:b w:val="0"/>
          <w:bCs w:val="0"/>
          <w:color w:val="auto"/>
          <w:sz w:val="32"/>
          <w:szCs w:val="32"/>
          <w:lang w:val="en-US" w:eastAsia="zh-CN"/>
        </w:rPr>
        <w:t>加强</w:t>
      </w:r>
      <w:r>
        <w:rPr>
          <w:rStyle w:val="23"/>
          <w:rFonts w:hint="eastAsia"/>
          <w:b w:val="0"/>
          <w:bCs w:val="0"/>
          <w:color w:val="auto"/>
          <w:sz w:val="32"/>
          <w:szCs w:val="32"/>
        </w:rPr>
        <w:t>知识产权文化</w:t>
      </w:r>
      <w:r>
        <w:rPr>
          <w:rStyle w:val="23"/>
          <w:rFonts w:hint="eastAsia" w:eastAsia="仿宋_GB2312"/>
          <w:b w:val="0"/>
          <w:bCs w:val="0"/>
          <w:color w:val="auto"/>
          <w:sz w:val="32"/>
          <w:szCs w:val="32"/>
          <w:lang w:val="en-US" w:eastAsia="zh-CN"/>
        </w:rPr>
        <w:t>建设</w:t>
      </w:r>
      <w:r>
        <w:rPr>
          <w:rStyle w:val="23"/>
          <w:rFonts w:hint="eastAsia"/>
          <w:b w:val="0"/>
          <w:bCs w:val="0"/>
          <w:color w:val="auto"/>
          <w:sz w:val="32"/>
          <w:szCs w:val="32"/>
        </w:rPr>
        <w:t>。</w:t>
      </w:r>
      <w:bookmarkEnd w:id="46"/>
      <w:r>
        <w:rPr>
          <w:rFonts w:hint="eastAsia" w:ascii="仿宋_GB2312" w:hAnsi="仿宋_GB2312" w:eastAsia="仿宋_GB2312" w:cs="仿宋_GB2312"/>
          <w:b w:val="0"/>
          <w:bCs w:val="0"/>
          <w:color w:val="auto"/>
          <w:sz w:val="32"/>
          <w:szCs w:val="32"/>
        </w:rPr>
        <w:t>弘扬“尊重知识、崇尚创新、诚信守法、公平竞争”的知识产权文化，推动知识产权文化与创新文化、传统文化和法治文化深度融合。利用传统媒体、新媒体平台，加强知识产权宣传教育。组织开展知识产权专题活动，加强知识产权公益宣传，提升知识产权工作舆论宣传覆盖面。支持知识产权宣传及文化建设等公共服务，在“4.26”世界知识产权日、中国专利周等重要节点，开展知识产权进企业、进单位、进社区、进学校、进网络等宣传教育活动，不断提高全社会特别是创新主体尊重和保护知识产权的意识。</w:t>
      </w:r>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rPr>
      </w:pPr>
      <w:bookmarkStart w:id="47" w:name="_Toc30617"/>
      <w:r>
        <w:rPr>
          <w:rStyle w:val="23"/>
          <w:rFonts w:hint="eastAsia"/>
          <w:b w:val="0"/>
          <w:bCs w:val="0"/>
          <w:color w:val="auto"/>
          <w:sz w:val="32"/>
          <w:szCs w:val="32"/>
        </w:rPr>
        <w:t>2.强化知识产权人才培养。</w:t>
      </w:r>
      <w:bookmarkEnd w:id="47"/>
      <w:r>
        <w:rPr>
          <w:rFonts w:hint="eastAsia" w:ascii="仿宋_GB2312" w:hAnsi="仿宋_GB2312" w:eastAsia="仿宋_GB2312" w:cs="仿宋_GB2312"/>
          <w:b w:val="0"/>
          <w:bCs w:val="0"/>
          <w:color w:val="auto"/>
          <w:sz w:val="32"/>
          <w:szCs w:val="32"/>
        </w:rPr>
        <w:t>加强行政执法人员专业能力建设</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制定知识产权保护公务员系统化培训规划，科学设置培训科目，确定考核方式，推进知识产权刑事司法和行政执法队伍专业化职业化建设。培育知识产权专业人才队伍</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完善知识产权服务人才体系，优化人才引进和使用政策，加强高素质、复合型、国际化知识产权服务人才队伍建设。建立线上线下系统化知识产权人才培训课程体系。</w:t>
      </w:r>
      <w:r>
        <w:rPr>
          <w:rFonts w:hint="eastAsia" w:ascii="仿宋_GB2312" w:hAnsi="宋体" w:eastAsia="仿宋_GB2312" w:cs="仿宋_GB2312"/>
          <w:b w:val="0"/>
          <w:bCs w:val="0"/>
          <w:color w:val="auto"/>
          <w:kern w:val="0"/>
          <w:sz w:val="32"/>
          <w:szCs w:val="32"/>
          <w:lang w:val="en-US" w:eastAsia="zh-CN" w:bidi="ar"/>
        </w:rPr>
        <w:t>支持企业与服务机构、高校等共同建设专利服务实训基地。支持驻烟高校将知识产权学历教育办出特色。</w:t>
      </w:r>
      <w:r>
        <w:rPr>
          <w:rFonts w:hint="eastAsia" w:ascii="仿宋_GB2312" w:hAnsi="仿宋_GB2312" w:eastAsia="仿宋_GB2312" w:cs="仿宋_GB2312"/>
          <w:b w:val="0"/>
          <w:bCs w:val="0"/>
          <w:i w:val="0"/>
          <w:iCs w:val="0"/>
          <w:caps w:val="0"/>
          <w:color w:val="auto"/>
          <w:spacing w:val="0"/>
          <w:sz w:val="32"/>
          <w:szCs w:val="32"/>
          <w:shd w:val="clear" w:fill="FFFFFF"/>
        </w:rPr>
        <w:t>推进知识产权智库建设，研究解决制约社会主义现代化强国的城市范例建设知识产权难题。</w:t>
      </w:r>
    </w:p>
    <w:p>
      <w:pPr>
        <w:pageBreakBefore w:val="0"/>
        <w:kinsoku/>
        <w:wordWrap/>
        <w:overflowPunct/>
        <w:autoSpaceDE/>
        <w:autoSpaceDN/>
        <w:bidi w:val="0"/>
        <w:spacing w:beforeAutospacing="0" w:afterAutospacing="0" w:line="240" w:lineRule="auto"/>
        <w:ind w:firstLine="640" w:firstLineChars="200"/>
        <w:textAlignment w:val="auto"/>
        <w:rPr>
          <w:rFonts w:hint="eastAsia"/>
          <w:color w:val="auto"/>
        </w:rPr>
      </w:pPr>
      <w:r>
        <w:rPr>
          <w:rStyle w:val="23"/>
          <w:rFonts w:hint="eastAsia" w:cs="Times New Roman"/>
          <w:b w:val="0"/>
          <w:bCs w:val="0"/>
          <w:strike w:val="0"/>
          <w:dstrike w:val="0"/>
          <w:color w:val="auto"/>
          <w:kern w:val="2"/>
          <w:sz w:val="32"/>
          <w:lang w:val="en-US" w:eastAsia="zh-CN" w:bidi="ar-SA"/>
        </w:rPr>
        <w:t>3.开展国际交流与合作。</w:t>
      </w:r>
      <w:r>
        <w:rPr>
          <w:rFonts w:hint="eastAsia" w:ascii="仿宋_GB2312" w:hAnsi="仿宋_GB2312" w:eastAsia="仿宋_GB2312" w:cs="仿宋_GB2312"/>
          <w:b w:val="0"/>
          <w:bCs w:val="0"/>
          <w:strike w:val="0"/>
          <w:dstrike w:val="0"/>
          <w:color w:val="auto"/>
          <w:sz w:val="32"/>
          <w:szCs w:val="32"/>
        </w:rPr>
        <w:t>拓展知识产权对外交流合作渠道</w:t>
      </w:r>
      <w:r>
        <w:rPr>
          <w:rFonts w:hint="eastAsia" w:ascii="仿宋_GB2312" w:hAnsi="仿宋_GB2312" w:eastAsia="仿宋_GB2312" w:cs="仿宋_GB2312"/>
          <w:b w:val="0"/>
          <w:bCs w:val="0"/>
          <w:strike w:val="0"/>
          <w:dstrike w:val="0"/>
          <w:color w:val="auto"/>
          <w:sz w:val="32"/>
          <w:szCs w:val="32"/>
          <w:u w:val="none"/>
        </w:rPr>
        <w:t>，充分发挥毗邻日韩的区位优势，深化知识产权务实合作</w:t>
      </w:r>
      <w:r>
        <w:rPr>
          <w:rFonts w:hint="eastAsia" w:ascii="仿宋_GB2312" w:hAnsi="仿宋_GB2312" w:eastAsia="仿宋_GB2312" w:cs="仿宋_GB2312"/>
          <w:b w:val="0"/>
          <w:bCs w:val="0"/>
          <w:strike w:val="0"/>
          <w:dstrike w:val="0"/>
          <w:color w:val="auto"/>
          <w:sz w:val="32"/>
          <w:szCs w:val="32"/>
          <w:u w:val="none"/>
          <w:lang w:eastAsia="zh-CN"/>
        </w:rPr>
        <w:t>，</w:t>
      </w:r>
      <w:r>
        <w:rPr>
          <w:rFonts w:hint="eastAsia" w:ascii="仿宋_GB2312" w:hAnsi="仿宋_GB2312" w:eastAsia="仿宋_GB2312" w:cs="仿宋_GB2312"/>
          <w:b w:val="0"/>
          <w:bCs w:val="0"/>
          <w:strike w:val="0"/>
          <w:dstrike w:val="0"/>
          <w:color w:val="auto"/>
          <w:sz w:val="32"/>
          <w:szCs w:val="32"/>
        </w:rPr>
        <w:t>为日韩企业与我国合办的产业</w:t>
      </w:r>
      <w:r>
        <w:rPr>
          <w:rFonts w:hint="eastAsia" w:ascii="仿宋_GB2312" w:hAnsi="仿宋_GB2312" w:eastAsia="仿宋_GB2312" w:cs="仿宋_GB2312"/>
          <w:strike w:val="0"/>
          <w:dstrike w:val="0"/>
          <w:color w:val="auto"/>
          <w:sz w:val="32"/>
          <w:szCs w:val="32"/>
        </w:rPr>
        <w:t>园中知识产权转移转化工作提供政策支持。引导企业运用好“一带一路”建设机遇和《区域全面经济伙伴关系协定》(RCEP)相关政策，助力</w:t>
      </w:r>
      <w:r>
        <w:rPr>
          <w:rFonts w:hint="eastAsia" w:ascii="仿宋_GB2312" w:hAnsi="仿宋_GB2312" w:eastAsia="仿宋_GB2312" w:cs="仿宋_GB2312"/>
          <w:strike w:val="0"/>
          <w:dstrike w:val="0"/>
          <w:color w:val="auto"/>
          <w:sz w:val="32"/>
          <w:szCs w:val="32"/>
          <w:lang w:eastAsia="zh-CN"/>
        </w:rPr>
        <w:t>烟台</w:t>
      </w:r>
      <w:r>
        <w:rPr>
          <w:rFonts w:hint="eastAsia" w:ascii="仿宋_GB2312" w:hAnsi="仿宋_GB2312" w:eastAsia="仿宋_GB2312" w:cs="仿宋_GB2312"/>
          <w:strike w:val="0"/>
          <w:dstrike w:val="0"/>
          <w:color w:val="auto"/>
          <w:sz w:val="32"/>
          <w:szCs w:val="32"/>
        </w:rPr>
        <w:t>企业“走出去”。鼓励企业积极开展海外知识产权布局，利用专利审查高速路(PPH)，特别是中日、中韩专利审查高速路，加快我</w:t>
      </w:r>
      <w:r>
        <w:rPr>
          <w:rFonts w:hint="eastAsia" w:ascii="仿宋_GB2312" w:hAnsi="仿宋_GB2312" w:eastAsia="仿宋_GB2312" w:cs="仿宋_GB2312"/>
          <w:strike w:val="0"/>
          <w:dstrike w:val="0"/>
          <w:color w:val="auto"/>
          <w:sz w:val="32"/>
          <w:szCs w:val="32"/>
          <w:lang w:val="en-US" w:eastAsia="zh-CN"/>
        </w:rPr>
        <w:t>市</w:t>
      </w:r>
      <w:r>
        <w:rPr>
          <w:rFonts w:hint="eastAsia" w:ascii="仿宋_GB2312" w:hAnsi="仿宋_GB2312" w:eastAsia="仿宋_GB2312" w:cs="仿宋_GB2312"/>
          <w:strike w:val="0"/>
          <w:dstrike w:val="0"/>
          <w:color w:val="auto"/>
          <w:sz w:val="32"/>
          <w:szCs w:val="32"/>
        </w:rPr>
        <w:t>发明人或者设计人在当地申请专利的授权。</w:t>
      </w:r>
      <w:r>
        <w:rPr>
          <w:rFonts w:hint="eastAsia" w:ascii="仿宋_GB2312" w:hAnsi="仿宋_GB2312" w:eastAsia="仿宋_GB2312" w:cs="仿宋_GB2312"/>
          <w:strike w:val="0"/>
          <w:dstrike w:val="0"/>
          <w:color w:val="auto"/>
          <w:sz w:val="32"/>
          <w:szCs w:val="32"/>
          <w:lang w:val="en-US" w:eastAsia="zh-CN"/>
        </w:rPr>
        <w:t>探索建立</w:t>
      </w:r>
      <w:r>
        <w:rPr>
          <w:rFonts w:hint="eastAsia" w:ascii="仿宋_GB2312" w:hAnsi="仿宋_GB2312" w:eastAsia="仿宋_GB2312" w:cs="仿宋_GB2312"/>
          <w:strike w:val="0"/>
          <w:dstrike w:val="0"/>
          <w:color w:val="auto"/>
          <w:sz w:val="32"/>
          <w:szCs w:val="32"/>
        </w:rPr>
        <w:t>国家海外知识产权纠纷应对指导中心</w:t>
      </w:r>
      <w:r>
        <w:rPr>
          <w:rFonts w:hint="eastAsia" w:ascii="仿宋_GB2312" w:hAnsi="仿宋_GB2312" w:eastAsia="仿宋_GB2312" w:cs="仿宋_GB2312"/>
          <w:strike w:val="0"/>
          <w:dstrike w:val="0"/>
          <w:color w:val="auto"/>
          <w:sz w:val="32"/>
          <w:szCs w:val="32"/>
          <w:lang w:val="en-US" w:eastAsia="zh-CN"/>
        </w:rPr>
        <w:t>烟台</w:t>
      </w:r>
      <w:r>
        <w:rPr>
          <w:rFonts w:hint="eastAsia" w:ascii="仿宋_GB2312" w:hAnsi="仿宋_GB2312" w:eastAsia="仿宋_GB2312" w:cs="仿宋_GB2312"/>
          <w:strike w:val="0"/>
          <w:dstrike w:val="0"/>
          <w:color w:val="auto"/>
          <w:sz w:val="32"/>
          <w:szCs w:val="32"/>
        </w:rPr>
        <w:t>分中心，构建高效便捷的海外知识产权纠纷维权机制。</w:t>
      </w:r>
    </w:p>
    <w:p>
      <w:pPr>
        <w:pStyle w:val="3"/>
        <w:pageBreakBefore w:val="0"/>
        <w:kinsoku/>
        <w:wordWrap/>
        <w:overflowPunct/>
        <w:autoSpaceDE/>
        <w:autoSpaceDN/>
        <w:bidi w:val="0"/>
        <w:spacing w:beforeAutospacing="0" w:after="0" w:afterAutospacing="0" w:line="240" w:lineRule="auto"/>
        <w:ind w:firstLine="640" w:firstLineChars="200"/>
        <w:textAlignment w:val="auto"/>
      </w:pPr>
      <w:bookmarkStart w:id="48" w:name="_Toc14898"/>
      <w:r>
        <w:rPr>
          <w:rFonts w:hint="eastAsia"/>
          <w:lang w:val="en-US" w:eastAsia="zh-CN"/>
        </w:rPr>
        <w:t>五、</w:t>
      </w:r>
      <w:r>
        <w:rPr>
          <w:rFonts w:hint="eastAsia"/>
        </w:rPr>
        <w:t>保障措施</w:t>
      </w:r>
      <w:bookmarkEnd w:id="48"/>
      <w:bookmarkStart w:id="49" w:name="_Toc58607437"/>
    </w:p>
    <w:p>
      <w:pPr>
        <w:pStyle w:val="4"/>
        <w:pageBreakBefore w:val="0"/>
        <w:kinsoku/>
        <w:wordWrap/>
        <w:overflowPunct/>
        <w:autoSpaceDE/>
        <w:autoSpaceDN/>
        <w:bidi w:val="0"/>
        <w:spacing w:beforeAutospacing="0" w:afterAutospacing="0" w:line="240" w:lineRule="auto"/>
        <w:ind w:firstLine="640" w:firstLineChars="200"/>
        <w:textAlignment w:val="auto"/>
      </w:pPr>
      <w:bookmarkStart w:id="50" w:name="_Toc2693"/>
      <w:r>
        <w:rPr>
          <w:rFonts w:hint="eastAsia"/>
        </w:rPr>
        <w:t>（一）加强组织领导</w:t>
      </w:r>
      <w:bookmarkEnd w:id="49"/>
      <w:bookmarkEnd w:id="50"/>
    </w:p>
    <w:p>
      <w:pPr>
        <w:pageBreakBefore w:val="0"/>
        <w:kinsoku/>
        <w:wordWrap/>
        <w:overflowPunct/>
        <w:autoSpaceDE/>
        <w:autoSpaceDN/>
        <w:bidi w:val="0"/>
        <w:spacing w:beforeAutospacing="0" w:afterAutospacing="0"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充分发挥市、区知识产权工作领导小组的统筹协调作用，进一步深化知识产权领域改革，建立综合管理协调机制，顺畅沟通渠道，各相关部门有序衔接，加强配合，形成工作合力，共同推进本规划实施。各区要根据本规划中重点工作内容，建立落实分管领导负责制和工作责任制，及时制定可行的年度推进计划、保障措施和配套政策，推动本规划的贯彻落实。</w:t>
      </w:r>
    </w:p>
    <w:p>
      <w:pPr>
        <w:pStyle w:val="4"/>
        <w:pageBreakBefore w:val="0"/>
        <w:kinsoku/>
        <w:wordWrap/>
        <w:overflowPunct/>
        <w:autoSpaceDE/>
        <w:autoSpaceDN/>
        <w:bidi w:val="0"/>
        <w:spacing w:beforeAutospacing="0" w:afterAutospacing="0" w:line="240" w:lineRule="auto"/>
        <w:ind w:firstLine="640" w:firstLineChars="200"/>
        <w:textAlignment w:val="auto"/>
      </w:pPr>
      <w:bookmarkStart w:id="51" w:name="_Toc17308"/>
      <w:bookmarkStart w:id="52" w:name="_Toc58607438"/>
      <w:r>
        <w:rPr>
          <w:rFonts w:hint="eastAsia"/>
        </w:rPr>
        <w:t>（二）落实资源保障</w:t>
      </w:r>
      <w:bookmarkEnd w:id="51"/>
      <w:bookmarkEnd w:id="52"/>
    </w:p>
    <w:p>
      <w:pPr>
        <w:pageBreakBefore w:val="0"/>
        <w:kinsoku/>
        <w:wordWrap/>
        <w:overflowPunct/>
        <w:autoSpaceDE/>
        <w:autoSpaceDN/>
        <w:bidi w:val="0"/>
        <w:spacing w:beforeAutospacing="0" w:afterAutospacing="0"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本规划主要任务推进实施的需要，强化经费保障，加大政府知识产权工作的资金投入力度。不断优化财政资金使用机制，围绕知识产权高标准保护、高质量创造、高效益运用、高水平服务及高端人才培养加大投入力度。引导和激励各类市场主体增加对知识产权的投入，形成政府引领、各方积极参与的多渠道投入体系。</w:t>
      </w:r>
    </w:p>
    <w:p>
      <w:pPr>
        <w:pStyle w:val="4"/>
        <w:pageBreakBefore w:val="0"/>
        <w:kinsoku/>
        <w:wordWrap/>
        <w:overflowPunct/>
        <w:autoSpaceDE/>
        <w:autoSpaceDN/>
        <w:bidi w:val="0"/>
        <w:spacing w:beforeAutospacing="0" w:afterAutospacing="0" w:line="240" w:lineRule="auto"/>
        <w:ind w:firstLine="640" w:firstLineChars="200"/>
        <w:textAlignment w:val="auto"/>
        <w:rPr>
          <w:rFonts w:ascii="楷体" w:hAnsi="楷体" w:eastAsia="楷体" w:cs="楷体_GB2312"/>
          <w:b/>
          <w:bCs/>
          <w:szCs w:val="32"/>
        </w:rPr>
      </w:pPr>
      <w:bookmarkStart w:id="53" w:name="_Toc58607439"/>
      <w:bookmarkStart w:id="54" w:name="_Toc1686"/>
      <w:r>
        <w:rPr>
          <w:rFonts w:hint="eastAsia"/>
        </w:rPr>
        <w:t>（三）持续监督考察</w:t>
      </w:r>
      <w:bookmarkEnd w:id="53"/>
      <w:bookmarkEnd w:id="54"/>
    </w:p>
    <w:p>
      <w:pPr>
        <w:pageBreakBefore w:val="0"/>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相关部门要按照规划的部署和要求，制定各项目标任务的分解落实方案，目标任务要与当前工作、年度工作相结合，确定阶段性的重点工作，解决各阶段最关键、最核心的问题，以点带面、递次推进。要组织对各规划目标任务落实情况开展年度监督检查，完善反馈机制，严格责任制度。</w:t>
      </w:r>
    </w:p>
    <w:p>
      <w:pPr>
        <w:pStyle w:val="4"/>
        <w:pageBreakBefore w:val="0"/>
        <w:kinsoku/>
        <w:wordWrap/>
        <w:overflowPunct/>
        <w:autoSpaceDE/>
        <w:autoSpaceDN/>
        <w:bidi w:val="0"/>
        <w:spacing w:beforeAutospacing="0" w:afterAutospacing="0" w:line="240" w:lineRule="auto"/>
        <w:ind w:firstLine="640" w:firstLineChars="200"/>
        <w:textAlignment w:val="auto"/>
        <w:rPr>
          <w:rFonts w:hint="eastAsia"/>
        </w:rPr>
      </w:pPr>
      <w:bookmarkStart w:id="55" w:name="_Toc28058"/>
      <w:r>
        <w:rPr>
          <w:rFonts w:hint="eastAsia"/>
          <w:lang w:eastAsia="zh-CN"/>
        </w:rPr>
        <w:t>（</w:t>
      </w:r>
      <w:r>
        <w:rPr>
          <w:rFonts w:hint="eastAsia"/>
          <w:lang w:val="en-US" w:eastAsia="zh-CN"/>
        </w:rPr>
        <w:t>四</w:t>
      </w:r>
      <w:r>
        <w:rPr>
          <w:rFonts w:hint="eastAsia"/>
          <w:lang w:eastAsia="zh-CN"/>
        </w:rPr>
        <w:t>）</w:t>
      </w:r>
      <w:r>
        <w:rPr>
          <w:rFonts w:hint="eastAsia"/>
        </w:rPr>
        <w:t>加强监测评估</w:t>
      </w:r>
      <w:bookmarkEnd w:id="55"/>
    </w:p>
    <w:p>
      <w:pPr>
        <w:pageBreakBefore w:val="0"/>
        <w:numPr>
          <w:ilvl w:val="0"/>
          <w:numId w:val="0"/>
        </w:numPr>
        <w:kinsoku/>
        <w:wordWrap/>
        <w:overflowPunct/>
        <w:autoSpaceDE/>
        <w:autoSpaceDN/>
        <w:bidi w:val="0"/>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对规划实施情况的跟踪监测、效果评估。完善规划实施的第三方监测与定期评估机制，广泛听取创新主体、服务机构的政策需求，推动建立规划目标和工作任务的动态调整机制，及时发现和解决规划实施过程中出现的问题。加强宣传和政策解读，及时总结推广典型经验做法。</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Calibri Light">
    <w:altName w:val="DejaVu Sans"/>
    <w:panose1 w:val="020F0302020204030204"/>
    <w:charset w:val="00"/>
    <w:family w:val="auto"/>
    <w:pitch w:val="default"/>
    <w:sig w:usb0="00000000" w:usb1="00000000"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利方宋体">
    <w:altName w:val="宋体"/>
    <w:panose1 w:val="00000000000000000000"/>
    <w:charset w:val="86"/>
    <w:family w:val="auto"/>
    <w:pitch w:val="default"/>
    <w:sig w:usb0="00000000" w:usb1="00000000" w:usb2="00000016"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华文楷体">
    <w:altName w:val="方正楷体_GBK"/>
    <w:panose1 w:val="02010600040101010101"/>
    <w:charset w:val="86"/>
    <w:family w:val="auto"/>
    <w:pitch w:val="default"/>
    <w:sig w:usb0="00000000" w:usb1="0000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F770E"/>
    <w:multiLevelType w:val="singleLevel"/>
    <w:tmpl w:val="86EF770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50788B"/>
    <w:rsid w:val="018526CE"/>
    <w:rsid w:val="02671883"/>
    <w:rsid w:val="02FC59E8"/>
    <w:rsid w:val="043D0F4A"/>
    <w:rsid w:val="060641F2"/>
    <w:rsid w:val="07030B2F"/>
    <w:rsid w:val="0710414E"/>
    <w:rsid w:val="081861AC"/>
    <w:rsid w:val="0CEF2D78"/>
    <w:rsid w:val="0E3A09A7"/>
    <w:rsid w:val="0FFDEE87"/>
    <w:rsid w:val="11C90C14"/>
    <w:rsid w:val="16D96838"/>
    <w:rsid w:val="179F0858"/>
    <w:rsid w:val="1D7E872B"/>
    <w:rsid w:val="1F0029EE"/>
    <w:rsid w:val="20BD6BDB"/>
    <w:rsid w:val="20D55AEA"/>
    <w:rsid w:val="21867EF0"/>
    <w:rsid w:val="21C62A94"/>
    <w:rsid w:val="2432402A"/>
    <w:rsid w:val="265A60BF"/>
    <w:rsid w:val="26B83628"/>
    <w:rsid w:val="27080DA8"/>
    <w:rsid w:val="28E70703"/>
    <w:rsid w:val="29282BE8"/>
    <w:rsid w:val="2AA01A6E"/>
    <w:rsid w:val="2C77BE9B"/>
    <w:rsid w:val="2D340295"/>
    <w:rsid w:val="2D4BFCFB"/>
    <w:rsid w:val="2D621325"/>
    <w:rsid w:val="2DFEC952"/>
    <w:rsid w:val="2E1E4FC4"/>
    <w:rsid w:val="2EA1781B"/>
    <w:rsid w:val="2EED2799"/>
    <w:rsid w:val="2FEF8798"/>
    <w:rsid w:val="32921211"/>
    <w:rsid w:val="337B38CB"/>
    <w:rsid w:val="35ACDBB0"/>
    <w:rsid w:val="35AD65D9"/>
    <w:rsid w:val="368124BD"/>
    <w:rsid w:val="36FD08A9"/>
    <w:rsid w:val="377668AB"/>
    <w:rsid w:val="37BE1847"/>
    <w:rsid w:val="37DDFC43"/>
    <w:rsid w:val="37ED2043"/>
    <w:rsid w:val="39D167B2"/>
    <w:rsid w:val="3ADE3BD4"/>
    <w:rsid w:val="3B796CC8"/>
    <w:rsid w:val="3BBF7C5B"/>
    <w:rsid w:val="3BF7ADC7"/>
    <w:rsid w:val="3CA8585F"/>
    <w:rsid w:val="3CB853B8"/>
    <w:rsid w:val="3D968264"/>
    <w:rsid w:val="3DF50983"/>
    <w:rsid w:val="3EEF1201"/>
    <w:rsid w:val="3F3A4FE0"/>
    <w:rsid w:val="3F434146"/>
    <w:rsid w:val="3F7F30BA"/>
    <w:rsid w:val="3F7FA24F"/>
    <w:rsid w:val="3F7FC384"/>
    <w:rsid w:val="3F9D1E58"/>
    <w:rsid w:val="3FB96363"/>
    <w:rsid w:val="3FB98D75"/>
    <w:rsid w:val="3FCF60BC"/>
    <w:rsid w:val="3FDD57BE"/>
    <w:rsid w:val="3FF74C4E"/>
    <w:rsid w:val="410A47EC"/>
    <w:rsid w:val="414F6AFB"/>
    <w:rsid w:val="41A760C3"/>
    <w:rsid w:val="446022D1"/>
    <w:rsid w:val="45A80A52"/>
    <w:rsid w:val="469E4F9E"/>
    <w:rsid w:val="48AF73E4"/>
    <w:rsid w:val="4A7E0DBF"/>
    <w:rsid w:val="4AD76060"/>
    <w:rsid w:val="4C6D5508"/>
    <w:rsid w:val="4DF7505A"/>
    <w:rsid w:val="4E6D0FB0"/>
    <w:rsid w:val="5050788B"/>
    <w:rsid w:val="509E3B0F"/>
    <w:rsid w:val="51D3524E"/>
    <w:rsid w:val="53746A5D"/>
    <w:rsid w:val="55962E4A"/>
    <w:rsid w:val="55F53952"/>
    <w:rsid w:val="56D762AB"/>
    <w:rsid w:val="57FA4AC4"/>
    <w:rsid w:val="584D7B5B"/>
    <w:rsid w:val="58A2321E"/>
    <w:rsid w:val="58D91981"/>
    <w:rsid w:val="58FF7299"/>
    <w:rsid w:val="5A460E05"/>
    <w:rsid w:val="5AA60A66"/>
    <w:rsid w:val="5AF680BF"/>
    <w:rsid w:val="5B5F0251"/>
    <w:rsid w:val="5B7C0172"/>
    <w:rsid w:val="5BF993CC"/>
    <w:rsid w:val="5BFD6D90"/>
    <w:rsid w:val="5CC3557B"/>
    <w:rsid w:val="5D4F7801"/>
    <w:rsid w:val="5EBF2494"/>
    <w:rsid w:val="5F3F1A40"/>
    <w:rsid w:val="5F91EA5D"/>
    <w:rsid w:val="5FBF52C7"/>
    <w:rsid w:val="5FE75C1F"/>
    <w:rsid w:val="60FCCD83"/>
    <w:rsid w:val="62A36D67"/>
    <w:rsid w:val="64212027"/>
    <w:rsid w:val="64360B1E"/>
    <w:rsid w:val="643F593F"/>
    <w:rsid w:val="64AD78C8"/>
    <w:rsid w:val="64DF0C23"/>
    <w:rsid w:val="67D559AF"/>
    <w:rsid w:val="68674FEE"/>
    <w:rsid w:val="69B7D551"/>
    <w:rsid w:val="6A5BD762"/>
    <w:rsid w:val="6AB1522B"/>
    <w:rsid w:val="6B0F3AD9"/>
    <w:rsid w:val="6BBB51B7"/>
    <w:rsid w:val="6BFB8BC9"/>
    <w:rsid w:val="6C4A644D"/>
    <w:rsid w:val="6CAF98D7"/>
    <w:rsid w:val="6CE44473"/>
    <w:rsid w:val="6CFE5EB1"/>
    <w:rsid w:val="6E3A74E0"/>
    <w:rsid w:val="6E6E5C2A"/>
    <w:rsid w:val="6EA95FF3"/>
    <w:rsid w:val="6F2FDADA"/>
    <w:rsid w:val="6F97A85E"/>
    <w:rsid w:val="6FBEA8A8"/>
    <w:rsid w:val="6FEF52AD"/>
    <w:rsid w:val="6FFD734C"/>
    <w:rsid w:val="71F73CE4"/>
    <w:rsid w:val="726C04B1"/>
    <w:rsid w:val="72ADC992"/>
    <w:rsid w:val="72F91DFD"/>
    <w:rsid w:val="74B17AFF"/>
    <w:rsid w:val="74B7405D"/>
    <w:rsid w:val="74F536AE"/>
    <w:rsid w:val="76146323"/>
    <w:rsid w:val="76737BFD"/>
    <w:rsid w:val="769B19F8"/>
    <w:rsid w:val="76E6E818"/>
    <w:rsid w:val="76EB71B3"/>
    <w:rsid w:val="774B04E6"/>
    <w:rsid w:val="77DE6777"/>
    <w:rsid w:val="78732122"/>
    <w:rsid w:val="7913261E"/>
    <w:rsid w:val="7A435ADD"/>
    <w:rsid w:val="7B4B504B"/>
    <w:rsid w:val="7B7A9948"/>
    <w:rsid w:val="7B7D1FDA"/>
    <w:rsid w:val="7B7F241B"/>
    <w:rsid w:val="7BE89C62"/>
    <w:rsid w:val="7BFA1A97"/>
    <w:rsid w:val="7BFB655D"/>
    <w:rsid w:val="7C3950EB"/>
    <w:rsid w:val="7D77B555"/>
    <w:rsid w:val="7DAFEF31"/>
    <w:rsid w:val="7DB585DB"/>
    <w:rsid w:val="7DBC9290"/>
    <w:rsid w:val="7DBE2747"/>
    <w:rsid w:val="7DDB5691"/>
    <w:rsid w:val="7DDF934F"/>
    <w:rsid w:val="7DE53791"/>
    <w:rsid w:val="7DFEC85F"/>
    <w:rsid w:val="7E695E7D"/>
    <w:rsid w:val="7E7FF2BA"/>
    <w:rsid w:val="7E8C68E5"/>
    <w:rsid w:val="7EC0D0B7"/>
    <w:rsid w:val="7EDF71A4"/>
    <w:rsid w:val="7EF5B2FB"/>
    <w:rsid w:val="7EFF787E"/>
    <w:rsid w:val="7F198918"/>
    <w:rsid w:val="7F6D9658"/>
    <w:rsid w:val="7F6FE7D2"/>
    <w:rsid w:val="7FB7464C"/>
    <w:rsid w:val="7FCC1B38"/>
    <w:rsid w:val="7FDCAAB4"/>
    <w:rsid w:val="7FDD0FB9"/>
    <w:rsid w:val="7FDF95A3"/>
    <w:rsid w:val="7FF51923"/>
    <w:rsid w:val="7FF9589C"/>
    <w:rsid w:val="7FFB9F9B"/>
    <w:rsid w:val="8DFF17DB"/>
    <w:rsid w:val="96DFEF91"/>
    <w:rsid w:val="97CD1EA1"/>
    <w:rsid w:val="99FC6912"/>
    <w:rsid w:val="9D7C9720"/>
    <w:rsid w:val="A2FD04EF"/>
    <w:rsid w:val="A3FFE21B"/>
    <w:rsid w:val="AF7E254D"/>
    <w:rsid w:val="B7DE6E35"/>
    <w:rsid w:val="B9DD3461"/>
    <w:rsid w:val="BAAF0C41"/>
    <w:rsid w:val="BAFAEE9C"/>
    <w:rsid w:val="BBEF9232"/>
    <w:rsid w:val="BD3F4CDE"/>
    <w:rsid w:val="BDC55B1B"/>
    <w:rsid w:val="BF6C4BEF"/>
    <w:rsid w:val="CDFBE907"/>
    <w:rsid w:val="CF569A06"/>
    <w:rsid w:val="CFBD25BF"/>
    <w:rsid w:val="D3FF381C"/>
    <w:rsid w:val="D5BF0A44"/>
    <w:rsid w:val="D6F7B7FC"/>
    <w:rsid w:val="D767C848"/>
    <w:rsid w:val="D7F2111B"/>
    <w:rsid w:val="DBFF3632"/>
    <w:rsid w:val="DD7F80EB"/>
    <w:rsid w:val="DDF742F7"/>
    <w:rsid w:val="DDF77341"/>
    <w:rsid w:val="DDF9BB96"/>
    <w:rsid w:val="DE5B6438"/>
    <w:rsid w:val="DF1FD735"/>
    <w:rsid w:val="DF5B491E"/>
    <w:rsid w:val="DF6FA6C0"/>
    <w:rsid w:val="DFAD4D8B"/>
    <w:rsid w:val="DFB79640"/>
    <w:rsid w:val="DFDFF156"/>
    <w:rsid w:val="DFF7CAB5"/>
    <w:rsid w:val="E6DDE108"/>
    <w:rsid w:val="E9CE58CD"/>
    <w:rsid w:val="ED7BAF3D"/>
    <w:rsid w:val="EDFE76EF"/>
    <w:rsid w:val="EDFFD7CF"/>
    <w:rsid w:val="EED54006"/>
    <w:rsid w:val="EEFF6B0E"/>
    <w:rsid w:val="EEFF9282"/>
    <w:rsid w:val="EF9BFB56"/>
    <w:rsid w:val="EFCCDA95"/>
    <w:rsid w:val="EFEB53E5"/>
    <w:rsid w:val="F257EDB6"/>
    <w:rsid w:val="F51F10EC"/>
    <w:rsid w:val="F5FE7B77"/>
    <w:rsid w:val="F6CF1039"/>
    <w:rsid w:val="F7F73C33"/>
    <w:rsid w:val="F99F53C6"/>
    <w:rsid w:val="F9D7E4D7"/>
    <w:rsid w:val="F9DF7A5F"/>
    <w:rsid w:val="FB3B68DC"/>
    <w:rsid w:val="FB3F2F0C"/>
    <w:rsid w:val="FB5F5D1A"/>
    <w:rsid w:val="FB6B220A"/>
    <w:rsid w:val="FB7D274E"/>
    <w:rsid w:val="FB7D78F3"/>
    <w:rsid w:val="FB7F96A5"/>
    <w:rsid w:val="FBFEEE19"/>
    <w:rsid w:val="FBFFA6CA"/>
    <w:rsid w:val="FC7D0EEA"/>
    <w:rsid w:val="FD5F4CD9"/>
    <w:rsid w:val="FDAF7272"/>
    <w:rsid w:val="FDDB52E6"/>
    <w:rsid w:val="FDDBF7AD"/>
    <w:rsid w:val="FDF52AFB"/>
    <w:rsid w:val="FDFAFBA0"/>
    <w:rsid w:val="FEE7BC5E"/>
    <w:rsid w:val="FEF5E810"/>
    <w:rsid w:val="FEFDE158"/>
    <w:rsid w:val="FEFDFEC4"/>
    <w:rsid w:val="FEFFE632"/>
    <w:rsid w:val="FF5F3270"/>
    <w:rsid w:val="FF975A7A"/>
    <w:rsid w:val="FFAB13E4"/>
    <w:rsid w:val="FFBF2246"/>
    <w:rsid w:val="FFCD89DC"/>
    <w:rsid w:val="FFD75725"/>
    <w:rsid w:val="FFF4B2B2"/>
    <w:rsid w:val="FFFB4D88"/>
    <w:rsid w:val="FFFB838A"/>
    <w:rsid w:val="FFFBF3BB"/>
    <w:rsid w:val="FFFFA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0"/>
    <w:pPr>
      <w:spacing w:before="0" w:beforeAutospacing="1" w:after="0" w:afterAutospacing="1"/>
      <w:jc w:val="left"/>
      <w:outlineLvl w:val="0"/>
    </w:pPr>
    <w:rPr>
      <w:rFonts w:hint="eastAsia" w:ascii="宋体" w:hAnsi="宋体" w:eastAsia="黑体" w:cs="宋体"/>
      <w:bCs/>
      <w:kern w:val="44"/>
      <w:sz w:val="32"/>
      <w:szCs w:val="48"/>
      <w:lang w:bidi="ar"/>
    </w:rPr>
  </w:style>
  <w:style w:type="paragraph" w:styleId="4">
    <w:name w:val="heading 2"/>
    <w:basedOn w:val="1"/>
    <w:next w:val="1"/>
    <w:link w:val="20"/>
    <w:unhideWhenUsed/>
    <w:qFormat/>
    <w:uiPriority w:val="0"/>
    <w:pPr>
      <w:keepNext/>
      <w:keepLines/>
      <w:adjustRightInd w:val="0"/>
      <w:snapToGrid w:val="0"/>
      <w:spacing w:line="579" w:lineRule="exact"/>
      <w:ind w:firstLine="803" w:firstLineChars="200"/>
      <w:outlineLvl w:val="1"/>
    </w:pPr>
    <w:rPr>
      <w:rFonts w:eastAsia="楷体" w:asciiTheme="majorAscii" w:hAnsiTheme="majorAscii" w:cstheme="majorBidi"/>
      <w:bCs/>
      <w:sz w:val="32"/>
      <w:szCs w:val="32"/>
    </w:rPr>
  </w:style>
  <w:style w:type="paragraph" w:styleId="5">
    <w:name w:val="heading 3"/>
    <w:basedOn w:val="1"/>
    <w:next w:val="1"/>
    <w:link w:val="23"/>
    <w:semiHidden/>
    <w:unhideWhenUsed/>
    <w:qFormat/>
    <w:uiPriority w:val="0"/>
    <w:pPr>
      <w:keepNext/>
      <w:keepLines/>
      <w:spacing w:before="260" w:after="260" w:line="579" w:lineRule="exact"/>
      <w:ind w:firstLine="640" w:firstLineChars="200"/>
      <w:outlineLvl w:val="2"/>
    </w:pPr>
    <w:rPr>
      <w:rFonts w:ascii="Times New Roman" w:hAnsi="Times New Roman" w:eastAsia="仿宋_GB2312"/>
      <w:b/>
      <w:bCs/>
      <w:sz w:val="32"/>
      <w:szCs w:val="32"/>
    </w:rPr>
  </w:style>
  <w:style w:type="paragraph" w:styleId="6">
    <w:name w:val="heading 4"/>
    <w:basedOn w:val="1"/>
    <w:next w:val="1"/>
    <w:semiHidden/>
    <w:unhideWhenUsed/>
    <w:qFormat/>
    <w:uiPriority w:val="0"/>
    <w:pPr>
      <w:keepNext/>
      <w:keepLines/>
      <w:spacing w:beforeLines="0" w:beforeAutospacing="0" w:afterLines="0" w:afterAutospacing="0" w:line="240" w:lineRule="exact"/>
      <w:ind w:left="420" w:leftChars="200"/>
      <w:outlineLvl w:val="3"/>
    </w:pPr>
    <w:rPr>
      <w:rFonts w:ascii="Arial" w:hAnsi="Arial" w:eastAsia="宋体" w:cs="Times New Roman"/>
      <w:b/>
      <w:sz w:val="24"/>
      <w:szCs w:val="22"/>
    </w:rPr>
  </w:style>
  <w:style w:type="character" w:default="1" w:styleId="16">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tabs>
        <w:tab w:val="right" w:leader="dot" w:pos="8296"/>
      </w:tabs>
      <w:spacing w:line="560" w:lineRule="exact"/>
      <w:ind w:left="420" w:leftChars="200"/>
    </w:pPr>
    <w:rPr>
      <w:rFonts w:ascii="楷体_GB2312" w:hAnsi="楷体_GB2312" w:eastAsia="楷体_GB2312" w:cs="Times New Roman"/>
      <w:sz w:val="32"/>
      <w:szCs w:val="24"/>
    </w:rPr>
  </w:style>
  <w:style w:type="paragraph" w:styleId="7">
    <w:name w:val="Body Text"/>
    <w:basedOn w:val="1"/>
    <w:qFormat/>
    <w:uiPriority w:val="1"/>
    <w:rPr>
      <w:rFonts w:ascii="宋体" w:hAnsi="宋体" w:eastAsia="宋体" w:cs="宋体"/>
      <w:sz w:val="32"/>
      <w:szCs w:val="32"/>
      <w:lang w:val="zh-CN" w:eastAsia="zh-CN" w:bidi="zh-CN"/>
    </w:rPr>
  </w:style>
  <w:style w:type="paragraph" w:styleId="8">
    <w:name w:val="toc 3"/>
    <w:basedOn w:val="1"/>
    <w:next w:val="1"/>
    <w:qFormat/>
    <w:uiPriority w:val="0"/>
    <w:pPr>
      <w:ind w:left="840" w:leftChars="400"/>
    </w:pPr>
  </w:style>
  <w:style w:type="paragraph" w:styleId="9">
    <w:name w:val="Body Text Indent 2"/>
    <w:basedOn w:val="1"/>
    <w:qFormat/>
    <w:uiPriority w:val="0"/>
    <w:pPr>
      <w:topLinePunct/>
      <w:ind w:firstLine="560" w:firstLineChars="200"/>
    </w:pPr>
    <w:rPr>
      <w:rFonts w:ascii="宋体" w:hAnsi="宋体"/>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一级"/>
    <w:basedOn w:val="1"/>
    <w:next w:val="1"/>
    <w:link w:val="19"/>
    <w:qFormat/>
    <w:uiPriority w:val="0"/>
    <w:pPr>
      <w:keepNext/>
      <w:keepLines/>
      <w:spacing w:before="100" w:beforeLines="100"/>
      <w:ind w:firstLine="0" w:firstLineChars="0"/>
      <w:outlineLvl w:val="0"/>
    </w:pPr>
    <w:rPr>
      <w:rFonts w:ascii="黑体" w:hAnsi="黑体" w:eastAsia="黑体"/>
      <w:sz w:val="32"/>
      <w:szCs w:val="30"/>
    </w:rPr>
  </w:style>
  <w:style w:type="character" w:customStyle="1" w:styleId="19">
    <w:name w:val="一级 字符"/>
    <w:basedOn w:val="16"/>
    <w:link w:val="18"/>
    <w:qFormat/>
    <w:uiPriority w:val="0"/>
    <w:rPr>
      <w:rFonts w:ascii="黑体" w:hAnsi="黑体" w:eastAsia="黑体"/>
      <w:sz w:val="32"/>
      <w:szCs w:val="30"/>
    </w:rPr>
  </w:style>
  <w:style w:type="character" w:customStyle="1" w:styleId="20">
    <w:name w:val="标题 2 字符"/>
    <w:basedOn w:val="16"/>
    <w:link w:val="4"/>
    <w:qFormat/>
    <w:uiPriority w:val="9"/>
    <w:rPr>
      <w:rFonts w:eastAsia="楷体" w:asciiTheme="majorAscii" w:hAnsiTheme="majorAscii" w:cstheme="majorBidi"/>
      <w:b/>
      <w:bCs/>
      <w:sz w:val="28"/>
      <w:szCs w:val="32"/>
    </w:rPr>
  </w:style>
  <w:style w:type="paragraph" w:customStyle="1" w:styleId="21">
    <w:name w:val="二级"/>
    <w:basedOn w:val="1"/>
    <w:next w:val="1"/>
    <w:link w:val="22"/>
    <w:qFormat/>
    <w:uiPriority w:val="0"/>
    <w:pPr>
      <w:keepLines/>
      <w:spacing w:line="579" w:lineRule="exact"/>
      <w:ind w:firstLine="803" w:firstLineChars="200"/>
      <w:outlineLvl w:val="1"/>
    </w:pPr>
    <w:rPr>
      <w:rFonts w:ascii="Times New Roman" w:hAnsi="Times New Roman" w:eastAsia="楷体"/>
      <w:sz w:val="32"/>
      <w:szCs w:val="21"/>
    </w:rPr>
  </w:style>
  <w:style w:type="character" w:customStyle="1" w:styleId="22">
    <w:name w:val="二级 字符"/>
    <w:basedOn w:val="16"/>
    <w:link w:val="21"/>
    <w:qFormat/>
    <w:uiPriority w:val="0"/>
    <w:rPr>
      <w:rFonts w:ascii="Times New Roman" w:hAnsi="Times New Roman" w:eastAsia="楷体"/>
      <w:kern w:val="2"/>
      <w:sz w:val="32"/>
      <w:szCs w:val="21"/>
    </w:rPr>
  </w:style>
  <w:style w:type="character" w:customStyle="1" w:styleId="23">
    <w:name w:val="标题 3 Char"/>
    <w:link w:val="5"/>
    <w:qFormat/>
    <w:uiPriority w:val="9"/>
    <w:rPr>
      <w:rFonts w:ascii="Times New Roman" w:hAnsi="Times New Roman" w:eastAsia="仿宋_GB2312"/>
      <w:b/>
      <w:bCs/>
      <w:sz w:val="24"/>
      <w:szCs w:val="32"/>
    </w:rPr>
  </w:style>
  <w:style w:type="paragraph" w:styleId="24">
    <w:name w:val="List Paragraph"/>
    <w:basedOn w:val="1"/>
    <w:qFormat/>
    <w:uiPriority w:val="34"/>
    <w:pPr>
      <w:ind w:firstLine="420" w:firstLineChars="200"/>
    </w:pPr>
    <w:rPr>
      <w:rFonts w:ascii="利方宋体" w:hAnsi="利方宋体" w:eastAsiaTheme="majorEastAsia"/>
      <w:sz w:val="28"/>
      <w:szCs w:val="22"/>
    </w:rPr>
  </w:style>
  <w:style w:type="character" w:customStyle="1" w:styleId="25">
    <w:name w:val="标题 1 字符"/>
    <w:basedOn w:val="16"/>
    <w:link w:val="3"/>
    <w:qFormat/>
    <w:uiPriority w:val="0"/>
    <w:rPr>
      <w:rFonts w:ascii="宋体" w:hAnsi="宋体" w:eastAsia="黑体" w:cs="Times New Roman"/>
      <w:bCs/>
      <w:kern w:val="44"/>
      <w:sz w:val="32"/>
      <w:szCs w:val="44"/>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2021-07-29T03:20:00Z</dcterms:created>
  <dc:creator>朱艳</dc:creator>
  <cp:lastModifiedBy>user</cp:lastModifiedBy>
  <cp:lastPrinted>2021-09-30T08:09:00Z</cp:lastPrinted>
  <dcterms:modified xsi:type="dcterms:W3CDTF">2021-11-04T16:34:01Z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84903F0F6E044233A7B3E68129A17EE7</vt:lpwstr>
  </property>
</Properties>
</file>