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AB56A">
      <w:pPr>
        <w:jc w:val="center"/>
        <w:rPr>
          <w:rFonts w:hint="eastAsia" w:asciiTheme="majorEastAsia" w:hAnsiTheme="majorEastAsia" w:eastAsiaTheme="major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开发区八中</w:t>
      </w:r>
      <w:r>
        <w:rPr>
          <w:rFonts w:hint="eastAsia" w:asciiTheme="majorEastAsia" w:hAnsiTheme="majorEastAsia" w:eastAsiaTheme="majorEastAsia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2024-2025学年度</w:t>
      </w:r>
    </w:p>
    <w:p w14:paraId="1371F86F">
      <w:pPr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教育教学工作计划</w:t>
      </w:r>
    </w:p>
    <w:p w14:paraId="31C3B4BB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学校以全面提高教育教学质量为目标，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加强过程管理，注重质量实效，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以课堂教学为主阵地，以综合素质评价为抓手，以教师的专业化发展为突破口，努力提升教科研发展工作实效，计划重点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做好以下几项工作：</w:t>
      </w:r>
    </w:p>
    <w:p w14:paraId="0A504819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一、修订教学制度，规范职能责任</w:t>
      </w:r>
    </w:p>
    <w:p w14:paraId="5E55380E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1.健全各类教学制度。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以落实规范为抓手，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积极强化教学常规管理，规范教学秩序，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严抓教学行为，以制度和规范引领学校内涵发展。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修改学校教职工考核方案、晚托绩效考核方案、教研组长备课组长考核方案、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教学常规和教科研发展相关考核细则。同时，积极进行制度反思和优化，真正建立制度引领的管理机制。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（责任研究室：教务处、教研</w:t>
      </w:r>
      <w:bookmarkStart w:id="0" w:name="_GoBack"/>
      <w:bookmarkEnd w:id="0"/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处）</w:t>
      </w:r>
    </w:p>
    <w:p w14:paraId="44C3E8CC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.细化机构责任分工。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处室、各级部、各教研组、各备课组需要职责明确，履职尽责。教务处积极落实五项管理规定，落实教学常规管理及每日课堂巡查，学生学习评价、优生、学困生的培养监管、统领中考、会考等各项考务管理，规范学籍、残疾学生、教育装备采购维修及各功能教室的管理。教研处积极树立教科研立教思想，规范教研活动和集体备课，落实校本教研，做好教师达标课、示范课、“优课”与兄弟学校同课异构等课程的安排，积极进行各类课题的研讨。各级部主任在组织各类学生活动及做好学生常规管理的同时，要积极关注教师思想，落实级部内教师教学常规，集体备课，做好级部每日课堂的巡查管理，关注教师和学生的发展，积极落实级部培优补差工作，为中考、会考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期末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积极谋划，突出时效。</w:t>
      </w:r>
    </w:p>
    <w:p w14:paraId="1126A092">
      <w:pP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（责任研究室：教务处、教研处、各级部）</w:t>
      </w:r>
    </w:p>
    <w:p w14:paraId="5C413900">
      <w:pPr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 落实教学常规。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新学期把落实教学常规作为提高教学质量、推动学校发展的核心任务，进一步规范和完善教学常规管理，克服教学工作的盲目性和随意性。开展教学检查，检查结果计入教师个人、备课组、教研组考核中。</w:t>
      </w:r>
    </w:p>
    <w:p w14:paraId="382135EA">
      <w:pPr>
        <w:ind w:firstLine="643" w:firstLineChars="200"/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加强备课管理。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本学期开始，教师手写备课，实行超周备课。强化集体备课，要求每位老师在集体备课的基础上结合学情进行个性化备课，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每周备课组微教研进行教材分析、课时规划、重难点突破、学科素养点落实、作业设置等超周教学研讨。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教务处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各级部、教研组定期检查和不定期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抽查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相结合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，结果计入考核。</w:t>
      </w:r>
    </w:p>
    <w:p w14:paraId="64BB7A38">
      <w:pPr>
        <w:ind w:firstLine="643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加强作业管理。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要求预先精心设计、作业内容、数量和难度等，并全批全改。教务处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各级部、教研组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定期全面检查和不定期抽查，并及时反馈检查情况，指出不足和整改措施，不断提高我校教学工作的质量。</w:t>
      </w:r>
    </w:p>
    <w:p w14:paraId="66D652F6">
      <w:pPr>
        <w:ind w:firstLine="643" w:firstLineChars="200"/>
        <w:rPr>
          <w:rFonts w:ascii="仿宋_GB2312" w:hAnsi="仿宋_GB2312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加强学生辅导。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各级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部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狠抓态度、方法、效果三位一体的过程性评价，充分发挥评价的激励、导向、诊断、矫正功能，不仅关注学生的学业成绩，更关注学生的情感、态度和价值观，关注学生精神世界的成长。各级部通过设立“学科门诊”、 “学生学习诊断表”等关注学生的学习过程，通过关注过程，来关爱每一位学生的成长。从关注“结果”到关注“过程”，从关注“缺点”到关注“改进”。及时发现学生的学习困惑，帮助学生形成有效的学习方法；及时发展学生的优势潜能，及时表彰每位学生的进步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每周进行切实可行的辅导，并留下做出书面记录上交级部主任，每月汇总上交教务处。</w:t>
      </w:r>
    </w:p>
    <w:p w14:paraId="3A831E95">
      <w:pP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（责任研究室：教务处、各级部、各教研组、各备课组）</w:t>
      </w:r>
    </w:p>
    <w:p w14:paraId="360FDF69">
      <w:pPr>
        <w:ind w:firstLine="640" w:firstLineChars="200"/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二、构建课堂模式，规范校本教研</w:t>
      </w:r>
    </w:p>
    <w:p w14:paraId="45DAEB7A">
      <w:pPr>
        <w:ind w:firstLine="640" w:firstLineChars="200"/>
        <w:rPr>
          <w:rFonts w:hint="default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 继续落实“学习中心”课堂</w:t>
      </w:r>
      <w:r>
        <w:rPr>
          <w:rFonts w:hint="eastAsia" w:ascii="楷体" w:hAnsi="楷体" w:eastAsia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六环节</w:t>
      </w: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推进基于核心素养的课堂改革，倡导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把学习的权利和责任还给学生，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落实“学习中心”课堂，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积极落实</w:t>
      </w: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“任务驱动、问题引领，小组合作，展示交流，评价汇总，达标检测”的教学评一致的基本模式，形成可操作的实施细则，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让学生会倾听，会思考，会表达，打造“听懂，做对，讲明白”学习高地。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积极落实课堂达标，尤其是纸面达标。</w:t>
      </w:r>
    </w:p>
    <w:p w14:paraId="401FBEF6">
      <w:pP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（责任研究室：教务处、教研处、各级部、各教研组）</w:t>
      </w:r>
    </w:p>
    <w:p w14:paraId="1DB68106">
      <w:pPr>
        <w:widowControl/>
        <w:spacing w:line="360" w:lineRule="auto"/>
        <w:ind w:firstLine="640" w:firstLineChars="200"/>
        <w:rPr>
          <w:rFonts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5.重视单元备课和教学评一致性。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期初确定教研组教研的方向与主题，从教育教学理论方法、课例展示实践探究等方面入手，促进教研组整体稳步推进、教师个体内化提升。以备课组为单位开展单元备课的展示，展示活动贯穿单元备课、课时授课、教研评议全过程，即教师执讲示范课——备课组长单元备课展示——全体学科教师参与评议的大教研活动，面向全体备课组全面推进课堂改革。</w:t>
      </w:r>
    </w:p>
    <w:p w14:paraId="6EEE08EE">
      <w:pPr>
        <w:pStyle w:val="2"/>
        <w:ind w:firstLine="640" w:firstLineChars="200"/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每学期以教师常规达标课为基础，落实教学评一致性的课改，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围绕“</w:t>
      </w: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学习中心”课堂的要求并结合听课评价量表，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开展“同课异构”活动。</w:t>
      </w: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按照“优课”内容要求、教学标准、技术标准，通过亮课、观课、评课等活动，遴选出具有创新特色、推广价值的优秀课例，作为校级“优课”，并根据需要推荐参加上一级 “优课”和“优质课”评选。</w:t>
      </w:r>
    </w:p>
    <w:p w14:paraId="33F2A45E">
      <w:pPr>
        <w:pStyle w:val="2"/>
        <w:ind w:firstLine="640" w:firstLineChars="200"/>
        <w:rPr>
          <w:rFonts w:hint="default" w:ascii="仿宋_GB2312" w:hAnsi="仿宋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教研处牵头对于各教研组研究相关课型，学科新授课、复习课、试卷讲评课三大课型，形成学科模板，可固化可复制可实施。</w:t>
      </w:r>
    </w:p>
    <w:p w14:paraId="722F970F">
      <w:pPr>
        <w:pStyle w:val="2"/>
        <w:rPr>
          <w:rFonts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（责任研究室：教研处、各教研组、各备课组）</w:t>
      </w:r>
    </w:p>
    <w:p w14:paraId="662DE327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6.落实学生综合素养评价体系。</w:t>
      </w: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学期规范学生课堂和课间常规，积极落实学生综合素质评价，形成全学科育人观念，将学科教师评价和德育常规评价相结合，多层面对学生进行激励引领，各班级每周对学生个人进行评价量化，汇总；级部每周对于班级和学生进行量化评比；政教处每月对于班级和级部进行评价量化，组织优胜级部和优胜班级评比（要有学生日常学习常规细则和大数据统计平台，形成教师每日对学生学习过程性的评价，同步与政教处考核并轨，教师-班主任-级部-教务-政教处。同时，每学年度级部组织各班级对于学生综合素养积分进行汇总公布，以学年度进行累积，以此作为学生初四综合素质评价和学生各类评先树优依据。</w:t>
      </w:r>
    </w:p>
    <w:p w14:paraId="2221FC0E">
      <w:pPr>
        <w:pStyle w:val="2"/>
        <w:rPr>
          <w:rFonts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（责任研究室：政教处、教务处、各级部、各班级）</w:t>
      </w:r>
    </w:p>
    <w:p w14:paraId="19EF9B0E">
      <w:pPr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三、提升专业发展，发展领航人才</w:t>
      </w:r>
    </w:p>
    <w:p w14:paraId="6197E220">
      <w:pPr>
        <w:ind w:firstLine="640" w:firstLineChars="200"/>
        <w:rPr>
          <w:rFonts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7.成立教师领航工作室。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为了加快学校教师队伍建设，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学校遴选教学中的优秀教师，包括外校来交流的优秀教师，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成立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个校级名师、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2个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班主任工作室，架构学校层面的名师、名班主任、教坛新秀梯队发展人选。名师、名班主任、教坛新秀制定工作室三年规划，明确工作室开展和成员发展的方向，唤醒成员专业发展的自觉性，激发成员专业成长的内生动力，引领教师探索教师成长之路。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教研处牵头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确定好工作室的管理制度和实施方案对于人员筛选、研究方向、实施路径、评价机制、资金支持等进行倾斜，积极送出去参加相关培训学习。</w:t>
      </w: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（责任研究室：教研处、政教处）</w:t>
      </w:r>
    </w:p>
    <w:p w14:paraId="3E359892">
      <w:pPr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8.成立青年教师发展共同体。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年教师的快速成长关系到学校的未来发展。学校成立青年教师发展联盟，给老师们提供交流、合作和分享的平台，促进青年教师之间的相互学习和成长。落实青年教师沙龙活动，提前定时间、定地点、定内容，定期开展青年教师的专业成长汇报，督促青年教师快速成长。施行“菜单式”培训，青年教师自主发现问题、提出问题，制定解决方案并集中研讨、形成对策并实施、总结得失，会后写出心得体会，定期上交优秀案例和工作总结。</w:t>
      </w:r>
    </w:p>
    <w:p w14:paraId="1DDF7014">
      <w:pPr>
        <w:ind w:firstLine="640" w:firstLineChars="200"/>
        <w:rPr>
          <w:rFonts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同时，学校对青年教师实施青蓝结对工程，通过教学业务结对和班主任工作结对促进青年教师双成长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落实双导师制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。学校制定师徒结对考核细则，明确师、徒责任和要求，师、徒每次开展的活动要进行书面记录，每月上交教研处，纳入考核。对于三年内青年教师，每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讲一节校级公开课，教研组留好书面材料，每月上交教研处，提高青年教师教学能力。在日常工作中，级部主任跟进年级组青年教师的成长，及时有效地进行一对一帮助，帮助青年教师树立做优秀教师的职业理想。</w:t>
      </w: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（责任研究室：教研处、各级部）</w:t>
      </w:r>
    </w:p>
    <w:p w14:paraId="04420AC4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9.深化校本研修内涵。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借助“swot”分析，指导教师制定个人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发展规划，建立教师业务发展档案，实施“多维度、多层次”立体式的干预及管理机制，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将教师目标和考评机制结合，积极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深化课题研究能力，促进教师的协同专业发展。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学科成立各自的校级小课题组，针对教育教学及管理工作中的瓶颈问题，深入探讨教学改革和教育创新的问题。着力课题研究与学校课程建设的结合、课题研究与学科教学的整合、课题研究与教育实践的融合，实现教师在日常教学中为课题研究与发展掌握第一手资料，同时将课题研究成果直接转化为教学生产力，不断推动教学改革。</w:t>
      </w: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（责任研究室：教研处、各教研组）</w:t>
      </w:r>
    </w:p>
    <w:p w14:paraId="70266E19">
      <w:pPr>
        <w:ind w:firstLine="640" w:firstLineChars="200"/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四、落实课程纲要，健全课程体系</w:t>
      </w:r>
    </w:p>
    <w:p w14:paraId="6C54CC1F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10.架构“德韵一体两翼”课程体系。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结合学科核心素养和中考、会考方向，架构“德韵一体”课程，优化学科课程建设和创新德育课程新模式，形成融实践性、综合性和可选择性的课程结构，积极开发以学科拓展特色课程和劳动实践教育为代表的“两翼”特色课程群。积极加强学科课程学习的衔接，实施项目化学习课程，培养学生能综合运用各学科知识、思维、价值观念解决实际问题的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能力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，建设与综合实践活动课程通融的“一体化”课程群，充分发挥劳动综合育人功能，传承中华优秀传统文化，厚实学校五育并举育人成果。</w:t>
      </w: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（责任研究室：教务处、政教处）</w:t>
      </w:r>
    </w:p>
    <w:p w14:paraId="6695A7C0"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11.扎实落实学校课程。</w:t>
      </w: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保证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国家课程落地，不能虚化、弱化、边缘化，体美劳要强化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在各级部开设劳动课和综合实践课，形成具体的指导纲要，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文化课程常规，定期组织调查问卷和每日课堂巡查相结合，进一步规范课程的开课情况，规范课堂授课内容，关注艺体课程，为体质测试和中考及各项比赛做好准备，劳动课要规范落实，有教师、有教材，有课时，不能变样走样。同时，落实每学期的各项活动，开展读书节、书法比赛、科技节、劳动周活动，以活动丰富学科课程体系。以学校劳动基地为契机，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搞活“校内种植园”，落实“</w:t>
      </w:r>
      <w:r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班班有责任田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人人有实践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</w:t>
      </w:r>
      <w:r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劳动</w:t>
      </w:r>
      <w:r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育人场域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。依托家委会，组织各班级参与研学课程，理论联系实际。同时，建立好学校劳动教研组和备课组，落实劳动梯队教师建设，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提升授课水平，形成劳动育人特色，积极参评上级组织的各类活动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。</w:t>
      </w:r>
    </w:p>
    <w:p w14:paraId="74479D04">
      <w:pPr>
        <w:topLinePunct/>
        <w:spacing w:line="560" w:lineRule="exact"/>
        <w:ind w:firstLine="643" w:firstLineChars="200"/>
        <w:contextualSpacing/>
        <w:rPr>
          <w:rFonts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（责任研究室：教务处、各级部）</w:t>
      </w:r>
    </w:p>
    <w:p w14:paraId="5B2EDC79">
      <w:pPr>
        <w:topLinePunct/>
        <w:spacing w:line="560" w:lineRule="exact"/>
        <w:ind w:firstLine="640" w:firstLineChars="200"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12.丰富拓展晚托课程。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新学期对于晚托课程进行调整，以学校校本课程为基础，增加特色课程和学校品牌课程，以及增设学科拓展类课程，将晚托课程以社团的形式进一步发展，逐步形成学校的特色。对于特色课程的开设，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鼓励教师编订校本课程教材，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在考核进行倾斜，并适时优化晚托费分配方案，鼓励多劳多得，打造学校特色。</w:t>
      </w:r>
    </w:p>
    <w:p w14:paraId="71B2972A">
      <w:pPr>
        <w:topLinePunct/>
        <w:spacing w:line="560" w:lineRule="exact"/>
        <w:ind w:firstLine="643" w:firstLineChars="200"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（责任研究室：教务处、各级部）</w:t>
      </w:r>
    </w:p>
    <w:p w14:paraId="22633A57">
      <w:pPr>
        <w:topLinePunct/>
        <w:spacing w:line="560" w:lineRule="exact"/>
        <w:ind w:firstLine="640" w:firstLineChars="200"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FD5AA15">
      <w:pPr>
        <w:topLinePunct/>
        <w:spacing w:line="560" w:lineRule="exact"/>
        <w:ind w:firstLine="640" w:firstLineChars="200"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7C779E">
      <w:pPr>
        <w:topLinePunct/>
        <w:spacing w:line="560" w:lineRule="exact"/>
        <w:ind w:firstLine="5760" w:firstLineChars="1800"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烟台开发区八中</w:t>
      </w:r>
    </w:p>
    <w:p w14:paraId="45363790">
      <w:pPr>
        <w:topLinePunct/>
        <w:spacing w:line="560" w:lineRule="exact"/>
        <w:ind w:firstLine="640" w:firstLineChars="200"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2024年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11BEB00A">
      <w:pPr>
        <w:topLinePunct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4CE9A97">
      <w:pPr>
        <w:topLinePunct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40FDBBF">
      <w:pPr>
        <w:topLinePunct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524DD18">
      <w:pPr>
        <w:topLinePunct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67FBE9F">
      <w:pPr>
        <w:topLinePunct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36CAFC">
      <w:pPr>
        <w:topLinePunct/>
        <w:contextualSpacing/>
        <w:rPr>
          <w:rFonts w:ascii="仿宋_GB2312" w:hAnsi="黑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E34EAB3">
      <w:pPr>
        <w:topLinePunct/>
        <w:contextualSpacing/>
        <w:jc w:val="center"/>
        <w:rPr>
          <w:rFonts w:ascii="宋体" w:hAnsi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27432173"/>
      <w:docPartObj>
        <w:docPartGallery w:val="autotext"/>
      </w:docPartObj>
    </w:sdtPr>
    <w:sdtContent>
      <w:p w14:paraId="314882EB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  <w:p w14:paraId="3E98A81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yMTMxZGE3MTU3NzlkYzZiOGRkNGRiY2U1N2M5ZWYifQ=="/>
  </w:docVars>
  <w:rsids>
    <w:rsidRoot w:val="00574B4D"/>
    <w:rsid w:val="00007316"/>
    <w:rsid w:val="000163E9"/>
    <w:rsid w:val="0002118A"/>
    <w:rsid w:val="0002302D"/>
    <w:rsid w:val="000275DB"/>
    <w:rsid w:val="00027E67"/>
    <w:rsid w:val="00031B32"/>
    <w:rsid w:val="000348A8"/>
    <w:rsid w:val="00040433"/>
    <w:rsid w:val="00043538"/>
    <w:rsid w:val="000462E5"/>
    <w:rsid w:val="00054E7A"/>
    <w:rsid w:val="00055150"/>
    <w:rsid w:val="0006172D"/>
    <w:rsid w:val="00076007"/>
    <w:rsid w:val="000767DF"/>
    <w:rsid w:val="00097DF9"/>
    <w:rsid w:val="000A44F5"/>
    <w:rsid w:val="000B56A9"/>
    <w:rsid w:val="000B64CF"/>
    <w:rsid w:val="000C1C95"/>
    <w:rsid w:val="000D6811"/>
    <w:rsid w:val="000E3547"/>
    <w:rsid w:val="000E68D6"/>
    <w:rsid w:val="000F12BD"/>
    <w:rsid w:val="00102FCA"/>
    <w:rsid w:val="00124CEA"/>
    <w:rsid w:val="00161116"/>
    <w:rsid w:val="00166D7E"/>
    <w:rsid w:val="0017152E"/>
    <w:rsid w:val="001928DB"/>
    <w:rsid w:val="001A513C"/>
    <w:rsid w:val="001A7DAC"/>
    <w:rsid w:val="001B0584"/>
    <w:rsid w:val="001B2CFF"/>
    <w:rsid w:val="001B6BE9"/>
    <w:rsid w:val="001C567D"/>
    <w:rsid w:val="001E2CD4"/>
    <w:rsid w:val="001E3F4A"/>
    <w:rsid w:val="001E4973"/>
    <w:rsid w:val="00201023"/>
    <w:rsid w:val="002024DB"/>
    <w:rsid w:val="00211846"/>
    <w:rsid w:val="002137F8"/>
    <w:rsid w:val="00216BF9"/>
    <w:rsid w:val="00220E9B"/>
    <w:rsid w:val="00224A81"/>
    <w:rsid w:val="0023211A"/>
    <w:rsid w:val="002328F2"/>
    <w:rsid w:val="00237334"/>
    <w:rsid w:val="00237B66"/>
    <w:rsid w:val="002446FA"/>
    <w:rsid w:val="0024549F"/>
    <w:rsid w:val="00254D9D"/>
    <w:rsid w:val="0025623B"/>
    <w:rsid w:val="00266FED"/>
    <w:rsid w:val="00281C14"/>
    <w:rsid w:val="002852CD"/>
    <w:rsid w:val="0029183B"/>
    <w:rsid w:val="00292BFD"/>
    <w:rsid w:val="002A66CE"/>
    <w:rsid w:val="002B1BA6"/>
    <w:rsid w:val="002B389A"/>
    <w:rsid w:val="002C7E7A"/>
    <w:rsid w:val="002D7B56"/>
    <w:rsid w:val="002F5BD4"/>
    <w:rsid w:val="003037EA"/>
    <w:rsid w:val="00305FB9"/>
    <w:rsid w:val="0031398E"/>
    <w:rsid w:val="00317CEA"/>
    <w:rsid w:val="00361980"/>
    <w:rsid w:val="003646E0"/>
    <w:rsid w:val="00365E3B"/>
    <w:rsid w:val="00374A13"/>
    <w:rsid w:val="00387E95"/>
    <w:rsid w:val="003A5D57"/>
    <w:rsid w:val="003B1BB9"/>
    <w:rsid w:val="003D1329"/>
    <w:rsid w:val="003E549F"/>
    <w:rsid w:val="003E6035"/>
    <w:rsid w:val="00401892"/>
    <w:rsid w:val="0042038F"/>
    <w:rsid w:val="00424E2D"/>
    <w:rsid w:val="004427CF"/>
    <w:rsid w:val="004432F9"/>
    <w:rsid w:val="00445837"/>
    <w:rsid w:val="00445ADF"/>
    <w:rsid w:val="00454690"/>
    <w:rsid w:val="0045562F"/>
    <w:rsid w:val="00466D0A"/>
    <w:rsid w:val="00484A0C"/>
    <w:rsid w:val="004960DF"/>
    <w:rsid w:val="00496E6A"/>
    <w:rsid w:val="004F16D6"/>
    <w:rsid w:val="004F33EF"/>
    <w:rsid w:val="004F5291"/>
    <w:rsid w:val="00513651"/>
    <w:rsid w:val="00527760"/>
    <w:rsid w:val="00532415"/>
    <w:rsid w:val="00562CD6"/>
    <w:rsid w:val="00574B4D"/>
    <w:rsid w:val="00574D40"/>
    <w:rsid w:val="005763C6"/>
    <w:rsid w:val="00590643"/>
    <w:rsid w:val="005A50BA"/>
    <w:rsid w:val="005B40C7"/>
    <w:rsid w:val="005C3DD4"/>
    <w:rsid w:val="005C46EA"/>
    <w:rsid w:val="005D7137"/>
    <w:rsid w:val="005E1EF8"/>
    <w:rsid w:val="005E6E4B"/>
    <w:rsid w:val="00634072"/>
    <w:rsid w:val="00641EFD"/>
    <w:rsid w:val="00645FCB"/>
    <w:rsid w:val="006800D8"/>
    <w:rsid w:val="00683892"/>
    <w:rsid w:val="00687804"/>
    <w:rsid w:val="00687B06"/>
    <w:rsid w:val="006B31F0"/>
    <w:rsid w:val="006B33B6"/>
    <w:rsid w:val="006C7C48"/>
    <w:rsid w:val="006D1175"/>
    <w:rsid w:val="006D2E07"/>
    <w:rsid w:val="006D7B23"/>
    <w:rsid w:val="006F05C0"/>
    <w:rsid w:val="006F1A00"/>
    <w:rsid w:val="00703678"/>
    <w:rsid w:val="00741087"/>
    <w:rsid w:val="0074247B"/>
    <w:rsid w:val="0074467C"/>
    <w:rsid w:val="00746927"/>
    <w:rsid w:val="0075133E"/>
    <w:rsid w:val="00774214"/>
    <w:rsid w:val="0079748F"/>
    <w:rsid w:val="007A15D6"/>
    <w:rsid w:val="007A73C9"/>
    <w:rsid w:val="007B2ED5"/>
    <w:rsid w:val="007B6995"/>
    <w:rsid w:val="007C36CD"/>
    <w:rsid w:val="007E3677"/>
    <w:rsid w:val="007E55F0"/>
    <w:rsid w:val="007F2455"/>
    <w:rsid w:val="007F5DAB"/>
    <w:rsid w:val="00800C33"/>
    <w:rsid w:val="00801724"/>
    <w:rsid w:val="00810CEE"/>
    <w:rsid w:val="008140BE"/>
    <w:rsid w:val="0084354C"/>
    <w:rsid w:val="00845FE2"/>
    <w:rsid w:val="00854141"/>
    <w:rsid w:val="008945CC"/>
    <w:rsid w:val="00894958"/>
    <w:rsid w:val="008A4433"/>
    <w:rsid w:val="008B0240"/>
    <w:rsid w:val="008B1D9F"/>
    <w:rsid w:val="008B2DB9"/>
    <w:rsid w:val="008C0DE4"/>
    <w:rsid w:val="008C2CD0"/>
    <w:rsid w:val="008D1861"/>
    <w:rsid w:val="00900624"/>
    <w:rsid w:val="00912D3C"/>
    <w:rsid w:val="00912E14"/>
    <w:rsid w:val="009161E2"/>
    <w:rsid w:val="00924701"/>
    <w:rsid w:val="009344DF"/>
    <w:rsid w:val="00954018"/>
    <w:rsid w:val="009544BA"/>
    <w:rsid w:val="0095589B"/>
    <w:rsid w:val="00962BF0"/>
    <w:rsid w:val="00964712"/>
    <w:rsid w:val="00966512"/>
    <w:rsid w:val="00996BDA"/>
    <w:rsid w:val="009A037E"/>
    <w:rsid w:val="009C5A9C"/>
    <w:rsid w:val="009D10C4"/>
    <w:rsid w:val="009D2113"/>
    <w:rsid w:val="009E3AD0"/>
    <w:rsid w:val="009E7C33"/>
    <w:rsid w:val="009F273F"/>
    <w:rsid w:val="00A017B9"/>
    <w:rsid w:val="00A1274F"/>
    <w:rsid w:val="00A220F2"/>
    <w:rsid w:val="00A30EA9"/>
    <w:rsid w:val="00A3674E"/>
    <w:rsid w:val="00A37C8D"/>
    <w:rsid w:val="00A4115F"/>
    <w:rsid w:val="00A4524C"/>
    <w:rsid w:val="00A57CE6"/>
    <w:rsid w:val="00A60C7A"/>
    <w:rsid w:val="00A734DC"/>
    <w:rsid w:val="00A77B0B"/>
    <w:rsid w:val="00A838F0"/>
    <w:rsid w:val="00A9049C"/>
    <w:rsid w:val="00AA23AB"/>
    <w:rsid w:val="00AA2472"/>
    <w:rsid w:val="00AA52B0"/>
    <w:rsid w:val="00AA65A7"/>
    <w:rsid w:val="00AA6BD1"/>
    <w:rsid w:val="00AB51D1"/>
    <w:rsid w:val="00AC1085"/>
    <w:rsid w:val="00AC4A27"/>
    <w:rsid w:val="00AC5E33"/>
    <w:rsid w:val="00AD6201"/>
    <w:rsid w:val="00AD69B6"/>
    <w:rsid w:val="00B01156"/>
    <w:rsid w:val="00B0593C"/>
    <w:rsid w:val="00B06F76"/>
    <w:rsid w:val="00B129DA"/>
    <w:rsid w:val="00B14AE5"/>
    <w:rsid w:val="00B20C6E"/>
    <w:rsid w:val="00B46E3B"/>
    <w:rsid w:val="00B5060D"/>
    <w:rsid w:val="00B67781"/>
    <w:rsid w:val="00BA2404"/>
    <w:rsid w:val="00BC1077"/>
    <w:rsid w:val="00BC2528"/>
    <w:rsid w:val="00BD294A"/>
    <w:rsid w:val="00BE3606"/>
    <w:rsid w:val="00C172B1"/>
    <w:rsid w:val="00C4284C"/>
    <w:rsid w:val="00C517BB"/>
    <w:rsid w:val="00C51D13"/>
    <w:rsid w:val="00C55F81"/>
    <w:rsid w:val="00C84995"/>
    <w:rsid w:val="00C86447"/>
    <w:rsid w:val="00CA53BD"/>
    <w:rsid w:val="00CB1AE5"/>
    <w:rsid w:val="00CB5FA4"/>
    <w:rsid w:val="00CC5EBE"/>
    <w:rsid w:val="00CE0DF5"/>
    <w:rsid w:val="00CE3747"/>
    <w:rsid w:val="00CE4766"/>
    <w:rsid w:val="00CF4704"/>
    <w:rsid w:val="00D22EC5"/>
    <w:rsid w:val="00D24677"/>
    <w:rsid w:val="00D45A20"/>
    <w:rsid w:val="00D531AC"/>
    <w:rsid w:val="00D9133C"/>
    <w:rsid w:val="00D91AE8"/>
    <w:rsid w:val="00D9504D"/>
    <w:rsid w:val="00D97CF3"/>
    <w:rsid w:val="00DA2FB1"/>
    <w:rsid w:val="00DB104F"/>
    <w:rsid w:val="00DC2F7D"/>
    <w:rsid w:val="00DD0A36"/>
    <w:rsid w:val="00DF19D7"/>
    <w:rsid w:val="00E054EB"/>
    <w:rsid w:val="00E10245"/>
    <w:rsid w:val="00E1575F"/>
    <w:rsid w:val="00E15C30"/>
    <w:rsid w:val="00E26C95"/>
    <w:rsid w:val="00E333CA"/>
    <w:rsid w:val="00E403FA"/>
    <w:rsid w:val="00E45AB1"/>
    <w:rsid w:val="00E45B74"/>
    <w:rsid w:val="00E50BC0"/>
    <w:rsid w:val="00E56FF7"/>
    <w:rsid w:val="00E60997"/>
    <w:rsid w:val="00E7689D"/>
    <w:rsid w:val="00E83B42"/>
    <w:rsid w:val="00E92219"/>
    <w:rsid w:val="00E94250"/>
    <w:rsid w:val="00E96476"/>
    <w:rsid w:val="00EB4804"/>
    <w:rsid w:val="00EB7945"/>
    <w:rsid w:val="00EB7FA6"/>
    <w:rsid w:val="00EE7B05"/>
    <w:rsid w:val="00EF69E9"/>
    <w:rsid w:val="00F11B6E"/>
    <w:rsid w:val="00F1709F"/>
    <w:rsid w:val="00F33D58"/>
    <w:rsid w:val="00F42FA1"/>
    <w:rsid w:val="00F83B99"/>
    <w:rsid w:val="00F96C17"/>
    <w:rsid w:val="00FC6E3A"/>
    <w:rsid w:val="00FC7E50"/>
    <w:rsid w:val="00FF42BF"/>
    <w:rsid w:val="00FF555F"/>
    <w:rsid w:val="03C860A8"/>
    <w:rsid w:val="06B937CD"/>
    <w:rsid w:val="06BE1E4C"/>
    <w:rsid w:val="096B4234"/>
    <w:rsid w:val="0A397B04"/>
    <w:rsid w:val="0E1A27C2"/>
    <w:rsid w:val="0EB82E21"/>
    <w:rsid w:val="10371794"/>
    <w:rsid w:val="12A8795F"/>
    <w:rsid w:val="1CF93A06"/>
    <w:rsid w:val="22B660C8"/>
    <w:rsid w:val="28C71693"/>
    <w:rsid w:val="294D36E8"/>
    <w:rsid w:val="2A501C78"/>
    <w:rsid w:val="2B9E3932"/>
    <w:rsid w:val="2C2A7124"/>
    <w:rsid w:val="2CC21614"/>
    <w:rsid w:val="32EE5A40"/>
    <w:rsid w:val="34D21A9F"/>
    <w:rsid w:val="350E769E"/>
    <w:rsid w:val="39E527ED"/>
    <w:rsid w:val="3A3F5097"/>
    <w:rsid w:val="3B727D7B"/>
    <w:rsid w:val="3F4B269F"/>
    <w:rsid w:val="44692B43"/>
    <w:rsid w:val="481F0D7F"/>
    <w:rsid w:val="4B2477C4"/>
    <w:rsid w:val="4DCC38A3"/>
    <w:rsid w:val="50281B04"/>
    <w:rsid w:val="55B654C7"/>
    <w:rsid w:val="55DB7CA7"/>
    <w:rsid w:val="6283786A"/>
    <w:rsid w:val="663C6294"/>
    <w:rsid w:val="673310C7"/>
    <w:rsid w:val="6D827E10"/>
    <w:rsid w:val="6DE54739"/>
    <w:rsid w:val="6EE70365"/>
    <w:rsid w:val="734E5FE7"/>
    <w:rsid w:val="76A0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unhideWhenUsed/>
    <w:qFormat/>
    <w:uiPriority w:val="99"/>
    <w:rPr>
      <w:rFonts w:ascii="宋体" w:hAnsi="Courier New" w:eastAsia="宋体" w:cs="Times New Roman"/>
      <w:szCs w:val="21"/>
    </w:rPr>
  </w:style>
  <w:style w:type="paragraph" w:styleId="3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Char"/>
    <w:basedOn w:val="7"/>
    <w:link w:val="3"/>
    <w:semiHidden/>
    <w:qFormat/>
    <w:uiPriority w:val="99"/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纯文本 Char"/>
    <w:basedOn w:val="7"/>
    <w:link w:val="2"/>
    <w:qFormat/>
    <w:uiPriority w:val="99"/>
    <w:rPr>
      <w:rFonts w:ascii="宋体" w:hAnsi="Courier New" w:eastAsia="宋体" w:cs="Times New Roman"/>
      <w:szCs w:val="21"/>
    </w:rPr>
  </w:style>
  <w:style w:type="character" w:customStyle="1" w:styleId="11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F4B796E-63DB-461F-BE3F-9DA4008A68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5328</Words>
  <Characters>5370</Characters>
  <Lines>43</Lines>
  <Paragraphs>12</Paragraphs>
  <TotalTime>8</TotalTime>
  <ScaleCrop>false</ScaleCrop>
  <LinksUpToDate>false</LinksUpToDate>
  <CharactersWithSpaces>5408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2024-02-12T02:38:00Z</dcterms:created>
  <dc:creator>xb21cn</dc:creator>
  <cp:lastModifiedBy>用户0952</cp:lastModifiedBy>
  <dcterms:modified xsi:type="dcterms:W3CDTF">2024-09-18T08:13:34Z</dcterms:modified>
  <cp:revision>302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2F071777E6884BC2BDE9197B6C6D827B_12</vt:lpwstr>
  </property>
</Properties>
</file>