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0BF9B0">
      <w:pPr>
        <w:keepNext w:val="0"/>
        <w:keepLines w:val="0"/>
        <w:pageBreakBefore w:val="0"/>
        <w:kinsoku/>
        <w:wordWrap/>
        <w:overflowPunct/>
        <w:topLinePunct w:val="0"/>
        <w:autoSpaceDE/>
        <w:autoSpaceDN/>
        <w:bidi w:val="0"/>
        <w:adjustRightInd/>
        <w:snapToGrid/>
        <w:spacing w:beforeAutospacing="0" w:afterAutospacing="0" w:line="584"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莱阳市第四中学课程改革实施方案</w:t>
      </w:r>
    </w:p>
    <w:p w14:paraId="037FFDDD">
      <w:pPr>
        <w:keepNext w:val="0"/>
        <w:keepLines w:val="0"/>
        <w:pageBreakBefore w:val="0"/>
        <w:widowControl/>
        <w:suppressLineNumbers w:val="0"/>
        <w:kinsoku/>
        <w:wordWrap/>
        <w:overflowPunct/>
        <w:topLinePunct w:val="0"/>
        <w:autoSpaceDE/>
        <w:autoSpaceDN/>
        <w:bidi w:val="0"/>
        <w:adjustRightInd/>
        <w:snapToGrid/>
        <w:spacing w:beforeAutospacing="0" w:afterAutospacing="0" w:line="584" w:lineRule="exact"/>
        <w:ind w:firstLine="640" w:firstLineChars="200"/>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为全面贯彻落实《莱阳市关于进一步推进中小学课堂教学改革的实施意见》精神，进一步推进我校课堂教学改革，转变教学方式，坚持“以生为本，做真教育”的教育理念，促进学生主动学习，切实提高课堂教学效益。结合我校实际，特制定本方案。</w:t>
      </w:r>
    </w:p>
    <w:p w14:paraId="169A63D8">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584" w:lineRule="exact"/>
        <w:ind w:firstLine="640" w:firstLineChars="200"/>
        <w:jc w:val="left"/>
        <w:textAlignment w:val="auto"/>
        <w:rPr>
          <w:rFonts w:hint="eastAsia" w:ascii="黑体" w:hAnsi="黑体" w:eastAsia="黑体" w:cs="黑体"/>
          <w:kern w:val="0"/>
          <w:sz w:val="32"/>
          <w:szCs w:val="32"/>
          <w:lang w:val="en-US" w:eastAsia="zh-CN" w:bidi="ar"/>
        </w:rPr>
      </w:pPr>
      <w:r>
        <w:rPr>
          <w:rFonts w:hint="eastAsia" w:ascii="黑体" w:hAnsi="黑体" w:eastAsia="黑体" w:cs="黑体"/>
          <w:kern w:val="0"/>
          <w:sz w:val="32"/>
          <w:szCs w:val="32"/>
          <w:lang w:val="en-US" w:eastAsia="zh-CN" w:bidi="ar"/>
        </w:rPr>
        <w:t>总体目标</w:t>
      </w:r>
    </w:p>
    <w:p w14:paraId="42D6949B">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84" w:lineRule="exact"/>
        <w:ind w:firstLine="640" w:firstLineChars="200"/>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进一步推动课堂教学改革，提高教师的专业水平和课堂教学效益，不断提升学生核心素养，形成“有知识、有方法、有生活、有境界”的“四有课堂”，解决当前我校教学中存在的突出问题，稳步推动我校教学质量的提升。</w:t>
      </w:r>
    </w:p>
    <w:p w14:paraId="0E19CB72">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584" w:lineRule="exact"/>
        <w:ind w:left="0" w:leftChars="0" w:firstLine="640" w:firstLineChars="200"/>
        <w:jc w:val="left"/>
        <w:textAlignment w:val="auto"/>
        <w:rPr>
          <w:rFonts w:hint="eastAsia" w:ascii="黑体" w:hAnsi="黑体" w:eastAsia="黑体" w:cs="黑体"/>
          <w:kern w:val="0"/>
          <w:sz w:val="32"/>
          <w:szCs w:val="32"/>
          <w:lang w:val="en-US" w:eastAsia="zh-CN" w:bidi="ar"/>
        </w:rPr>
      </w:pPr>
      <w:r>
        <w:rPr>
          <w:rFonts w:hint="eastAsia" w:ascii="黑体" w:hAnsi="黑体" w:eastAsia="黑体" w:cs="黑体"/>
          <w:kern w:val="0"/>
          <w:sz w:val="32"/>
          <w:szCs w:val="32"/>
          <w:lang w:val="en-US" w:eastAsia="zh-CN" w:bidi="ar"/>
        </w:rPr>
        <w:t>教学主张</w:t>
      </w:r>
    </w:p>
    <w:p w14:paraId="558BA238">
      <w:pPr>
        <w:keepNext w:val="0"/>
        <w:keepLines w:val="0"/>
        <w:pageBreakBefore w:val="0"/>
        <w:widowControl/>
        <w:numPr>
          <w:ilvl w:val="0"/>
          <w:numId w:val="2"/>
        </w:numPr>
        <w:suppressLineNumbers w:val="0"/>
        <w:kinsoku/>
        <w:wordWrap/>
        <w:overflowPunct/>
        <w:topLinePunct w:val="0"/>
        <w:autoSpaceDE/>
        <w:autoSpaceDN/>
        <w:bidi w:val="0"/>
        <w:adjustRightInd/>
        <w:snapToGrid/>
        <w:spacing w:beforeAutospacing="0" w:afterAutospacing="0" w:line="584" w:lineRule="exact"/>
        <w:ind w:leftChars="200"/>
        <w:jc w:val="left"/>
        <w:textAlignment w:val="auto"/>
        <w:rPr>
          <w:rFonts w:hint="eastAsia"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内涵解读</w:t>
      </w:r>
    </w:p>
    <w:p w14:paraId="4B45B35A">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84" w:lineRule="exact"/>
        <w:ind w:firstLine="320" w:firstLineChars="100"/>
        <w:jc w:val="lef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“学思行悟”其基本内涵包含“优学、启思、引行、领悟”四个主要环节。</w:t>
      </w:r>
    </w:p>
    <w:p w14:paraId="1814F94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84" w:lineRule="exact"/>
        <w:ind w:left="0" w:firstLine="420"/>
        <w:jc w:val="both"/>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优学”：指优化学习理念、方式和内容。即是在课堂教学中要充分尊重学生的主体地位，顺应学生的个性特点，真正做到“以生为本”，深入开展学情分析，激发各个层次的学生学习兴趣，确保真实学习行为的发生，在牢牢把握课程标准的前提下，适当整合教学内容，灵活运用各种技术，提高教学实效。</w:t>
      </w:r>
    </w:p>
    <w:p w14:paraId="739642B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84" w:lineRule="exact"/>
        <w:ind w:left="0" w:firstLine="420"/>
        <w:jc w:val="both"/>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“启思”：指启发有效思考。即是在课堂教学中要合理设置情境，合理设置问题链，启发和引导学生产生有效思考，在形式和本质上保证学生大脑处于积极的思维状态。</w:t>
      </w:r>
    </w:p>
    <w:p w14:paraId="0256CB8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84" w:lineRule="exact"/>
        <w:ind w:left="0" w:firstLine="420"/>
        <w:jc w:val="both"/>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“引行”：指引导学生行动或活动。即是在课堂教学中要注重培养学生的科学探究能力和实践操作能力，合理组织师生互动，提升学生运用所学知识解决实际问题的水平。</w:t>
      </w:r>
    </w:p>
    <w:p w14:paraId="5B30CC1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84" w:lineRule="exact"/>
        <w:ind w:left="0" w:firstLine="420"/>
        <w:jc w:val="both"/>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领悟”：指带领学生反思和总结。即是在课堂教学中要指导学生进行阶段性反思和总结，感悟学科内和学科间知识的内在联系，总结实践活动的经验，促进学生学有所用、用有所思、思有所得，提高融会贯通能力，增强学生交流、分享意识，全面提高学生综合素质。</w:t>
      </w:r>
    </w:p>
    <w:p w14:paraId="5FB6EF8A">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84" w:lineRule="exact"/>
        <w:ind w:right="0" w:rightChars="0"/>
        <w:jc w:val="left"/>
        <w:textAlignment w:val="auto"/>
        <w:rPr>
          <w:rFonts w:hint="eastAsia" w:ascii="仿宋" w:hAnsi="仿宋" w:eastAsia="仿宋" w:cs="仿宋"/>
          <w:color w:val="000000"/>
          <w:sz w:val="32"/>
          <w:szCs w:val="32"/>
          <w:lang w:val="en-US" w:eastAsia="zh-CN"/>
        </w:rPr>
      </w:pPr>
      <w:r>
        <w:rPr>
          <w:rFonts w:hint="eastAsia" w:ascii="楷体" w:hAnsi="楷体" w:eastAsia="楷体" w:cs="楷体"/>
          <w:color w:val="000000"/>
          <w:sz w:val="32"/>
          <w:szCs w:val="32"/>
          <w:lang w:val="en-US" w:eastAsia="zh-CN"/>
        </w:rPr>
        <w:t xml:space="preserve">   （二）主要特征</w:t>
      </w:r>
    </w:p>
    <w:p w14:paraId="0C9E37B1">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84" w:lineRule="exact"/>
        <w:ind w:right="0" w:rightChars="0"/>
        <w:jc w:val="left"/>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 xml:space="preserve">    1.教学方式上：以学生为中心，聚焦学生有效学习理念，课堂从知识本位、教师中心向素养本位、学生中心转型。</w:t>
      </w:r>
    </w:p>
    <w:p w14:paraId="496DBD50">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84" w:lineRule="exact"/>
        <w:ind w:right="0" w:rightChars="0" w:firstLine="640" w:firstLineChars="200"/>
        <w:jc w:val="left"/>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2.教学内容上：改变“碎片化”、“割裂化”的倾向，推动衔接学习、深度学习和综合学习。</w:t>
      </w:r>
    </w:p>
    <w:p w14:paraId="01651CE7">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84" w:lineRule="exact"/>
        <w:ind w:right="0" w:rightChars="0" w:firstLine="640" w:firstLineChars="200"/>
        <w:jc w:val="left"/>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3.教学评价上：突出立德树人导向和学科核心素养导向，强化多元评价。</w:t>
      </w:r>
    </w:p>
    <w:p w14:paraId="7CC7464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84" w:lineRule="exact"/>
        <w:ind w:left="0" w:firstLine="420"/>
        <w:jc w:val="both"/>
        <w:textAlignment w:val="auto"/>
        <w:rPr>
          <w:rFonts w:hint="eastAsia"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（三）结构框架</w:t>
      </w:r>
    </w:p>
    <w:p w14:paraId="0C404B9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84" w:lineRule="exact"/>
        <w:ind w:left="0" w:firstLine="420"/>
        <w:jc w:val="both"/>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优学、启思、引行、领悟”是辩证统一的整体。教师要在“优、启、引”上多研究，做到能优化、会启发、善引导，确保学生的主体地位和教师的主导作用；学生要在“学、思、行”上下功夫，做到善学、真思、笃行，确保学思结合，知行合一。“领悟”是对前三个环节的总结和升华，要求教师和学生都要反思和总结，对学情又有了新的认识，进一步促进教学方式的优化，形成闭环反馈机制，不断提高教学效率。</w:t>
      </w:r>
    </w:p>
    <w:p w14:paraId="5DFF689F">
      <w:pPr>
        <w:keepNext w:val="0"/>
        <w:keepLines w:val="0"/>
        <w:pageBreakBefore w:val="0"/>
        <w:widowControl/>
        <w:suppressLineNumbers w:val="0"/>
        <w:kinsoku/>
        <w:wordWrap/>
        <w:overflowPunct/>
        <w:topLinePunct w:val="0"/>
        <w:autoSpaceDE/>
        <w:autoSpaceDN/>
        <w:bidi w:val="0"/>
        <w:adjustRightInd/>
        <w:snapToGrid/>
        <w:spacing w:beforeAutospacing="0" w:afterAutospacing="0" w:line="584"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000000"/>
          <w:sz w:val="32"/>
          <w:szCs w:val="32"/>
          <w:lang w:val="en-US" w:eastAsia="zh-CN"/>
        </w:rPr>
        <w:t>总之，通过</w:t>
      </w:r>
      <w:r>
        <w:rPr>
          <w:rFonts w:hint="eastAsia" w:ascii="仿宋" w:hAnsi="仿宋" w:eastAsia="仿宋" w:cs="仿宋"/>
          <w:kern w:val="0"/>
          <w:sz w:val="32"/>
          <w:szCs w:val="32"/>
          <w:lang w:val="en-US" w:eastAsia="zh-CN" w:bidi="ar"/>
        </w:rPr>
        <w:t>“学思行悟”课堂教学实践，改变我校传统课堂教学的积弊，转变教师教学理念、优化教学方法，进一步推动教学管理从“以教定学”到“以学定教”转变，着力改变学生、教师、学校的生存状态和生存方式，提升我校课程实施的水平和教育教学质量。</w:t>
      </w:r>
    </w:p>
    <w:p w14:paraId="58191C73">
      <w:pPr>
        <w:pStyle w:val="4"/>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584" w:lineRule="exact"/>
        <w:ind w:left="0" w:leftChars="0" w:firstLine="640" w:firstLineChars="200"/>
        <w:jc w:val="both"/>
        <w:textAlignment w:val="auto"/>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实施步骤</w:t>
      </w:r>
    </w:p>
    <w:p w14:paraId="75114400">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84" w:lineRule="exact"/>
        <w:ind w:right="0" w:rightChars="0" w:firstLine="640" w:firstLineChars="200"/>
        <w:jc w:val="both"/>
        <w:textAlignment w:val="auto"/>
        <w:rPr>
          <w:rFonts w:hint="eastAsia"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第一阶段：制定方案、学习动员、启动阶段（2025.3-2025.4）</w:t>
      </w:r>
    </w:p>
    <w:p w14:paraId="767EF371">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84" w:lineRule="exact"/>
        <w:ind w:right="0" w:rightChars="0" w:firstLine="640" w:firstLineChars="200"/>
        <w:jc w:val="both"/>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1.成立课改领导小组，组建研究团队，明确各成员的职责和分工。</w:t>
      </w:r>
    </w:p>
    <w:p w14:paraId="59329957">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84" w:lineRule="exact"/>
        <w:ind w:right="0" w:rightChars="0" w:firstLine="640" w:firstLineChars="200"/>
        <w:jc w:val="both"/>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2.确立各学科带头人和实验学科。各学科制定本学科课改实施方案。</w:t>
      </w:r>
    </w:p>
    <w:p w14:paraId="37BA726D">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84" w:lineRule="exact"/>
        <w:ind w:right="0" w:rightChars="0" w:firstLine="640" w:firstLineChars="200"/>
        <w:jc w:val="both"/>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3.对全体教师进行课堂改革的宣传和培训，提高教师课改意识。</w:t>
      </w:r>
    </w:p>
    <w:p w14:paraId="788B8C3E">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84" w:lineRule="exact"/>
        <w:ind w:right="0" w:rightChars="0" w:firstLine="640" w:firstLineChars="200"/>
        <w:jc w:val="both"/>
        <w:textAlignment w:val="auto"/>
        <w:rPr>
          <w:rFonts w:hint="eastAsia"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第二阶段：课改实验阶段（2025.4-2025.7）</w:t>
      </w:r>
    </w:p>
    <w:p w14:paraId="5765C4E7">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84" w:lineRule="exact"/>
        <w:ind w:right="0" w:rightChars="0" w:firstLine="640" w:firstLineChars="200"/>
        <w:jc w:val="both"/>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在领导小组和学科带头人的带领下，全面开展教学改革实验。</w:t>
      </w:r>
    </w:p>
    <w:p w14:paraId="0675B92F">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84" w:lineRule="exact"/>
        <w:ind w:right="0" w:rightChars="0" w:firstLine="640" w:firstLineChars="200"/>
        <w:jc w:val="both"/>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1.开展观摩课活动，评选优秀课例</w:t>
      </w:r>
    </w:p>
    <w:p w14:paraId="03C6E4AE">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84" w:lineRule="exact"/>
        <w:ind w:right="0" w:rightChars="0" w:firstLine="640" w:firstLineChars="200"/>
        <w:jc w:val="both"/>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2.定期组织教师交流研讨，分享实验过程中的经验和问题，共同寻找解决方案</w:t>
      </w:r>
    </w:p>
    <w:p w14:paraId="7CF58C7B">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84" w:lineRule="exact"/>
        <w:ind w:right="0" w:rightChars="0" w:firstLine="640" w:firstLineChars="200"/>
        <w:jc w:val="both"/>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3.开展课题研究，引领教学改革实践活动，推进课改实践向深度拓展</w:t>
      </w:r>
    </w:p>
    <w:p w14:paraId="5B3B3B3D">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84" w:lineRule="exact"/>
        <w:ind w:right="0" w:rightChars="0" w:firstLine="640" w:firstLineChars="200"/>
        <w:jc w:val="both"/>
        <w:textAlignment w:val="auto"/>
        <w:rPr>
          <w:rFonts w:hint="eastAsia"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第三阶段：反思不足、阶段性总结阶段（2025.7-2025.9）</w:t>
      </w:r>
    </w:p>
    <w:p w14:paraId="4B9768F4">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84" w:lineRule="exact"/>
        <w:ind w:right="0" w:rightChars="0" w:firstLine="640" w:firstLineChars="200"/>
        <w:jc w:val="both"/>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1.开展第一阶段课堂教学改革总结会议，评选课堂改革优秀教师和优秀学科组。</w:t>
      </w:r>
    </w:p>
    <w:p w14:paraId="7AB225CC">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84" w:lineRule="exact"/>
        <w:ind w:right="0" w:rightChars="0" w:firstLine="640" w:firstLineChars="200"/>
        <w:jc w:val="both"/>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2.备课组和教师个人对课改进行反思，总结得失，形成书面材料。</w:t>
      </w:r>
    </w:p>
    <w:p w14:paraId="02B4D0B1">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84" w:lineRule="exact"/>
        <w:ind w:right="0" w:rightChars="0" w:firstLine="640" w:firstLineChars="200"/>
        <w:jc w:val="both"/>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3.组织专题研讨。</w:t>
      </w:r>
    </w:p>
    <w:p w14:paraId="6C511002">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84" w:lineRule="exact"/>
        <w:ind w:right="0" w:rightChars="0" w:firstLine="640" w:firstLineChars="200"/>
        <w:jc w:val="both"/>
        <w:textAlignment w:val="auto"/>
        <w:rPr>
          <w:rFonts w:hint="eastAsia"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第四阶段：深化创新阶段（2025.9-2025.11）</w:t>
      </w:r>
    </w:p>
    <w:p w14:paraId="62DF2FBA">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84" w:lineRule="exact"/>
        <w:ind w:right="0" w:rightChars="0" w:firstLine="640" w:firstLineChars="200"/>
        <w:jc w:val="both"/>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1.典型示范。教学改革实践骨干教师上示范课，优秀学科组提炼课堂教学模式、分享经验，学校大力推广典型做法，发挥骨干教师和优秀学科的带头作用。</w:t>
      </w:r>
    </w:p>
    <w:p w14:paraId="4EF246E2">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84" w:lineRule="exact"/>
        <w:ind w:right="0" w:rightChars="0" w:firstLine="640" w:firstLineChars="200"/>
        <w:jc w:val="both"/>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2.中青年教师</w:t>
      </w:r>
      <w:bookmarkStart w:id="0" w:name="_GoBack"/>
      <w:bookmarkEnd w:id="0"/>
      <w:r>
        <w:rPr>
          <w:rFonts w:hint="eastAsia" w:ascii="仿宋" w:hAnsi="仿宋" w:eastAsia="仿宋" w:cs="仿宋"/>
          <w:color w:val="000000"/>
          <w:sz w:val="32"/>
          <w:szCs w:val="32"/>
          <w:lang w:val="en-US" w:eastAsia="zh-CN"/>
        </w:rPr>
        <w:t>汇报课。50岁以下的中青年教师按照课改模式上汇报课。</w:t>
      </w:r>
    </w:p>
    <w:p w14:paraId="502D5A14">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84" w:lineRule="exact"/>
        <w:ind w:right="0" w:rightChars="0" w:firstLine="640" w:firstLineChars="200"/>
        <w:jc w:val="both"/>
        <w:textAlignment w:val="auto"/>
        <w:rPr>
          <w:rFonts w:hint="eastAsia"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第五阶段：总结提炼阶段（2025.12）</w:t>
      </w:r>
    </w:p>
    <w:p w14:paraId="46717823">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84" w:lineRule="exact"/>
        <w:ind w:right="0" w:rightChars="0" w:firstLine="640" w:firstLineChars="200"/>
        <w:jc w:val="both"/>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提炼总结教学改革实施的研究成果，做好总结汇报工作，达成我校课改总目标。</w:t>
      </w:r>
    </w:p>
    <w:p w14:paraId="7391DAB1">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84" w:lineRule="exact"/>
        <w:ind w:right="0" w:rightChars="0" w:firstLine="320" w:firstLineChars="100"/>
        <w:jc w:val="both"/>
        <w:textAlignment w:val="auto"/>
        <w:rPr>
          <w:rFonts w:hint="eastAsia" w:ascii="仿宋" w:hAnsi="仿宋" w:eastAsia="仿宋" w:cs="仿宋"/>
          <w:color w:val="000000"/>
          <w:sz w:val="32"/>
          <w:szCs w:val="32"/>
          <w:lang w:val="en-US" w:eastAsia="zh-CN"/>
        </w:rPr>
      </w:pPr>
      <w:r>
        <w:rPr>
          <w:rFonts w:hint="eastAsia" w:ascii="楷体" w:hAnsi="楷体" w:eastAsia="楷体" w:cs="楷体"/>
          <w:color w:val="000000"/>
          <w:sz w:val="32"/>
          <w:szCs w:val="32"/>
          <w:lang w:val="en-US" w:eastAsia="zh-CN"/>
        </w:rPr>
        <w:t>附：工作安排配档表</w:t>
      </w:r>
    </w:p>
    <w:tbl>
      <w:tblPr>
        <w:tblStyle w:val="6"/>
        <w:tblW w:w="90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3"/>
        <w:gridCol w:w="918"/>
        <w:gridCol w:w="7297"/>
      </w:tblGrid>
      <w:tr w14:paraId="40421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803" w:type="dxa"/>
            <w:vAlign w:val="top"/>
          </w:tcPr>
          <w:p w14:paraId="2C896B8E">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40" w:lineRule="exact"/>
              <w:ind w:right="0" w:rightChars="0"/>
              <w:jc w:val="center"/>
              <w:textAlignment w:val="auto"/>
              <w:rPr>
                <w:rFonts w:hint="eastAsia" w:ascii="仿宋" w:hAnsi="仿宋" w:eastAsia="仿宋" w:cs="仿宋"/>
                <w:color w:val="000000"/>
                <w:sz w:val="28"/>
                <w:szCs w:val="28"/>
                <w:vertAlign w:val="baseline"/>
                <w:lang w:val="en-US" w:eastAsia="zh-CN"/>
              </w:rPr>
            </w:pPr>
            <w:r>
              <w:rPr>
                <w:rFonts w:hint="eastAsia" w:ascii="仿宋" w:hAnsi="仿宋" w:eastAsia="仿宋" w:cs="仿宋"/>
                <w:color w:val="000000"/>
                <w:sz w:val="28"/>
                <w:szCs w:val="28"/>
                <w:vertAlign w:val="baseline"/>
                <w:lang w:val="en-US" w:eastAsia="zh-CN"/>
              </w:rPr>
              <w:t>序号</w:t>
            </w:r>
          </w:p>
        </w:tc>
        <w:tc>
          <w:tcPr>
            <w:tcW w:w="918" w:type="dxa"/>
            <w:vAlign w:val="top"/>
          </w:tcPr>
          <w:p w14:paraId="1D94632E">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40" w:lineRule="exact"/>
              <w:ind w:right="0" w:rightChars="0"/>
              <w:jc w:val="center"/>
              <w:textAlignment w:val="auto"/>
              <w:rPr>
                <w:rFonts w:hint="eastAsia" w:ascii="仿宋" w:hAnsi="仿宋" w:eastAsia="仿宋" w:cs="仿宋"/>
                <w:color w:val="000000"/>
                <w:sz w:val="28"/>
                <w:szCs w:val="28"/>
                <w:vertAlign w:val="baseline"/>
                <w:lang w:val="en-US" w:eastAsia="zh-CN"/>
              </w:rPr>
            </w:pPr>
            <w:r>
              <w:rPr>
                <w:rFonts w:hint="eastAsia" w:ascii="仿宋" w:hAnsi="仿宋" w:eastAsia="仿宋" w:cs="仿宋"/>
                <w:color w:val="000000"/>
                <w:sz w:val="28"/>
                <w:szCs w:val="28"/>
                <w:vertAlign w:val="baseline"/>
                <w:lang w:val="en-US" w:eastAsia="zh-CN"/>
              </w:rPr>
              <w:t>月份</w:t>
            </w:r>
          </w:p>
        </w:tc>
        <w:tc>
          <w:tcPr>
            <w:tcW w:w="7297" w:type="dxa"/>
            <w:vAlign w:val="top"/>
          </w:tcPr>
          <w:p w14:paraId="3B021E25">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40" w:lineRule="exact"/>
              <w:ind w:right="0" w:rightChars="0"/>
              <w:jc w:val="center"/>
              <w:textAlignment w:val="auto"/>
              <w:rPr>
                <w:rFonts w:hint="eastAsia" w:ascii="仿宋" w:hAnsi="仿宋" w:eastAsia="仿宋" w:cs="仿宋"/>
                <w:color w:val="000000"/>
                <w:sz w:val="28"/>
                <w:szCs w:val="28"/>
                <w:vertAlign w:val="baseline"/>
                <w:lang w:val="en-US" w:eastAsia="zh-CN"/>
              </w:rPr>
            </w:pPr>
            <w:r>
              <w:rPr>
                <w:rFonts w:hint="eastAsia" w:ascii="仿宋" w:hAnsi="仿宋" w:eastAsia="仿宋" w:cs="仿宋"/>
                <w:color w:val="000000"/>
                <w:sz w:val="28"/>
                <w:szCs w:val="28"/>
                <w:vertAlign w:val="baseline"/>
                <w:lang w:val="en-US" w:eastAsia="zh-CN"/>
              </w:rPr>
              <w:t>工作内容</w:t>
            </w:r>
          </w:p>
        </w:tc>
      </w:tr>
      <w:tr w14:paraId="67E85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trPr>
        <w:tc>
          <w:tcPr>
            <w:tcW w:w="803" w:type="dxa"/>
          </w:tcPr>
          <w:p w14:paraId="04C7C50A">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28"/>
                <w:szCs w:val="28"/>
                <w:vertAlign w:val="baseline"/>
                <w:lang w:val="en-US" w:eastAsia="zh-CN"/>
              </w:rPr>
            </w:pPr>
          </w:p>
          <w:p w14:paraId="3BD2F017">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28"/>
                <w:szCs w:val="28"/>
                <w:vertAlign w:val="baseline"/>
                <w:lang w:val="en-US" w:eastAsia="zh-CN"/>
              </w:rPr>
            </w:pPr>
            <w:r>
              <w:rPr>
                <w:rFonts w:hint="eastAsia" w:ascii="仿宋" w:hAnsi="仿宋" w:eastAsia="仿宋" w:cs="仿宋"/>
                <w:color w:val="000000"/>
                <w:sz w:val="28"/>
                <w:szCs w:val="28"/>
                <w:vertAlign w:val="baseline"/>
                <w:lang w:val="en-US" w:eastAsia="zh-CN"/>
              </w:rPr>
              <w:t>1</w:t>
            </w:r>
          </w:p>
        </w:tc>
        <w:tc>
          <w:tcPr>
            <w:tcW w:w="918" w:type="dxa"/>
          </w:tcPr>
          <w:p w14:paraId="338C0233">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28"/>
                <w:szCs w:val="28"/>
                <w:vertAlign w:val="baseline"/>
                <w:lang w:val="en-US" w:eastAsia="zh-CN"/>
              </w:rPr>
            </w:pPr>
          </w:p>
          <w:p w14:paraId="0E667A3D">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28"/>
                <w:szCs w:val="28"/>
                <w:vertAlign w:val="baseline"/>
                <w:lang w:val="en-US" w:eastAsia="zh-CN"/>
              </w:rPr>
            </w:pPr>
            <w:r>
              <w:rPr>
                <w:rFonts w:hint="eastAsia" w:ascii="仿宋" w:hAnsi="仿宋" w:eastAsia="仿宋" w:cs="仿宋"/>
                <w:color w:val="000000"/>
                <w:sz w:val="28"/>
                <w:szCs w:val="28"/>
                <w:vertAlign w:val="baseline"/>
                <w:lang w:val="en-US" w:eastAsia="zh-CN"/>
              </w:rPr>
              <w:t>三月</w:t>
            </w:r>
          </w:p>
        </w:tc>
        <w:tc>
          <w:tcPr>
            <w:tcW w:w="7297" w:type="dxa"/>
          </w:tcPr>
          <w:p w14:paraId="41E2872C">
            <w:pPr>
              <w:pStyle w:val="4"/>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28"/>
                <w:szCs w:val="28"/>
                <w:vertAlign w:val="baseline"/>
                <w:lang w:val="en-US" w:eastAsia="zh-CN"/>
              </w:rPr>
            </w:pPr>
            <w:r>
              <w:rPr>
                <w:rFonts w:hint="eastAsia" w:ascii="仿宋" w:hAnsi="仿宋" w:eastAsia="仿宋" w:cs="仿宋"/>
                <w:color w:val="000000"/>
                <w:sz w:val="28"/>
                <w:szCs w:val="28"/>
                <w:vertAlign w:val="baseline"/>
                <w:lang w:val="en-US" w:eastAsia="zh-CN"/>
              </w:rPr>
              <w:t>成立课改领导小组和研究团队，制定实施方案</w:t>
            </w:r>
          </w:p>
          <w:p w14:paraId="010D4C49">
            <w:pPr>
              <w:pStyle w:val="4"/>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28"/>
                <w:szCs w:val="28"/>
                <w:vertAlign w:val="baseline"/>
                <w:lang w:val="en-US" w:eastAsia="zh-CN"/>
              </w:rPr>
            </w:pPr>
            <w:r>
              <w:rPr>
                <w:rFonts w:hint="eastAsia" w:ascii="仿宋" w:hAnsi="仿宋" w:eastAsia="仿宋" w:cs="仿宋"/>
                <w:color w:val="000000"/>
                <w:sz w:val="28"/>
                <w:szCs w:val="28"/>
                <w:vertAlign w:val="baseline"/>
                <w:lang w:val="en-US" w:eastAsia="zh-CN"/>
              </w:rPr>
              <w:t>召开教师会议</w:t>
            </w:r>
          </w:p>
          <w:p w14:paraId="34D73AEB">
            <w:pPr>
              <w:pStyle w:val="4"/>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28"/>
                <w:szCs w:val="28"/>
                <w:vertAlign w:val="baseline"/>
                <w:lang w:val="en-US" w:eastAsia="zh-CN"/>
              </w:rPr>
            </w:pPr>
            <w:r>
              <w:rPr>
                <w:rFonts w:hint="eastAsia" w:ascii="仿宋" w:hAnsi="仿宋" w:eastAsia="仿宋" w:cs="仿宋"/>
                <w:color w:val="000000"/>
                <w:sz w:val="28"/>
                <w:szCs w:val="28"/>
                <w:vertAlign w:val="baseline"/>
                <w:lang w:val="en-US" w:eastAsia="zh-CN"/>
              </w:rPr>
              <w:t>组织教师进行专题研讨和培训</w:t>
            </w:r>
          </w:p>
        </w:tc>
      </w:tr>
      <w:tr w14:paraId="32558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trPr>
        <w:tc>
          <w:tcPr>
            <w:tcW w:w="803" w:type="dxa"/>
          </w:tcPr>
          <w:p w14:paraId="1F9EC382">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28"/>
                <w:szCs w:val="28"/>
                <w:vertAlign w:val="baseline"/>
                <w:lang w:val="en-US" w:eastAsia="zh-CN"/>
              </w:rPr>
            </w:pPr>
          </w:p>
          <w:p w14:paraId="072C6D63">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28"/>
                <w:szCs w:val="28"/>
                <w:vertAlign w:val="baseline"/>
                <w:lang w:val="en-US" w:eastAsia="zh-CN"/>
              </w:rPr>
            </w:pPr>
            <w:r>
              <w:rPr>
                <w:rFonts w:hint="eastAsia" w:ascii="仿宋" w:hAnsi="仿宋" w:eastAsia="仿宋" w:cs="仿宋"/>
                <w:color w:val="000000"/>
                <w:sz w:val="28"/>
                <w:szCs w:val="28"/>
                <w:vertAlign w:val="baseline"/>
                <w:lang w:val="en-US" w:eastAsia="zh-CN"/>
              </w:rPr>
              <w:t>2</w:t>
            </w:r>
          </w:p>
        </w:tc>
        <w:tc>
          <w:tcPr>
            <w:tcW w:w="918" w:type="dxa"/>
          </w:tcPr>
          <w:p w14:paraId="49C15CCB">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28"/>
                <w:szCs w:val="28"/>
                <w:vertAlign w:val="baseline"/>
                <w:lang w:val="en-US" w:eastAsia="zh-CN"/>
              </w:rPr>
            </w:pPr>
          </w:p>
          <w:p w14:paraId="1AD7496B">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28"/>
                <w:szCs w:val="28"/>
                <w:vertAlign w:val="baseline"/>
                <w:lang w:val="en-US" w:eastAsia="zh-CN"/>
              </w:rPr>
            </w:pPr>
            <w:r>
              <w:rPr>
                <w:rFonts w:hint="eastAsia" w:ascii="仿宋" w:hAnsi="仿宋" w:eastAsia="仿宋" w:cs="仿宋"/>
                <w:color w:val="000000"/>
                <w:sz w:val="28"/>
                <w:szCs w:val="28"/>
                <w:vertAlign w:val="baseline"/>
                <w:lang w:val="en-US" w:eastAsia="zh-CN"/>
              </w:rPr>
              <w:t>四月</w:t>
            </w:r>
          </w:p>
        </w:tc>
        <w:tc>
          <w:tcPr>
            <w:tcW w:w="7297" w:type="dxa"/>
          </w:tcPr>
          <w:p w14:paraId="037DDFA6">
            <w:pPr>
              <w:pStyle w:val="4"/>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28"/>
                <w:szCs w:val="28"/>
                <w:vertAlign w:val="baseline"/>
                <w:lang w:val="en-US" w:eastAsia="zh-CN"/>
              </w:rPr>
            </w:pPr>
            <w:r>
              <w:rPr>
                <w:rFonts w:hint="eastAsia" w:ascii="仿宋" w:hAnsi="仿宋" w:eastAsia="仿宋" w:cs="仿宋"/>
                <w:color w:val="000000"/>
                <w:sz w:val="28"/>
                <w:szCs w:val="28"/>
                <w:vertAlign w:val="baseline"/>
                <w:lang w:val="en-US" w:eastAsia="zh-CN"/>
              </w:rPr>
              <w:t>组织学科教研活动</w:t>
            </w:r>
          </w:p>
          <w:p w14:paraId="40FC215D">
            <w:pPr>
              <w:pStyle w:val="4"/>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28"/>
                <w:szCs w:val="28"/>
                <w:vertAlign w:val="baseline"/>
                <w:lang w:val="en-US" w:eastAsia="zh-CN"/>
              </w:rPr>
            </w:pPr>
            <w:r>
              <w:rPr>
                <w:rFonts w:hint="eastAsia" w:ascii="仿宋" w:hAnsi="仿宋" w:eastAsia="仿宋" w:cs="仿宋"/>
                <w:color w:val="000000"/>
                <w:sz w:val="28"/>
                <w:szCs w:val="28"/>
                <w:vertAlign w:val="baseline"/>
                <w:lang w:val="en-US" w:eastAsia="zh-CN"/>
              </w:rPr>
              <w:t>开展课题研究</w:t>
            </w:r>
          </w:p>
          <w:p w14:paraId="56EE3295">
            <w:pPr>
              <w:pStyle w:val="4"/>
              <w:keepNext w:val="0"/>
              <w:keepLines w:val="0"/>
              <w:pageBreakBefore w:val="0"/>
              <w:widowControl/>
              <w:numPr>
                <w:ilvl w:val="0"/>
                <w:numId w:val="4"/>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28"/>
                <w:szCs w:val="28"/>
                <w:vertAlign w:val="baseline"/>
                <w:lang w:val="en-US" w:eastAsia="zh-CN"/>
              </w:rPr>
            </w:pPr>
            <w:r>
              <w:rPr>
                <w:rFonts w:hint="eastAsia" w:ascii="仿宋" w:hAnsi="仿宋" w:eastAsia="仿宋" w:cs="仿宋"/>
                <w:color w:val="000000"/>
                <w:sz w:val="28"/>
                <w:szCs w:val="28"/>
                <w:vertAlign w:val="baseline"/>
                <w:lang w:val="en-US" w:eastAsia="zh-CN"/>
              </w:rPr>
              <w:t>开展推门听课活动</w:t>
            </w:r>
          </w:p>
        </w:tc>
      </w:tr>
      <w:tr w14:paraId="036FC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trPr>
        <w:tc>
          <w:tcPr>
            <w:tcW w:w="803" w:type="dxa"/>
          </w:tcPr>
          <w:p w14:paraId="47B8E5D3">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28"/>
                <w:szCs w:val="28"/>
                <w:vertAlign w:val="baseline"/>
                <w:lang w:val="en-US" w:eastAsia="zh-CN"/>
              </w:rPr>
            </w:pPr>
          </w:p>
          <w:p w14:paraId="028476EA">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28"/>
                <w:szCs w:val="28"/>
                <w:vertAlign w:val="baseline"/>
                <w:lang w:val="en-US" w:eastAsia="zh-CN"/>
              </w:rPr>
            </w:pPr>
            <w:r>
              <w:rPr>
                <w:rFonts w:hint="eastAsia" w:ascii="仿宋" w:hAnsi="仿宋" w:eastAsia="仿宋" w:cs="仿宋"/>
                <w:color w:val="000000"/>
                <w:sz w:val="28"/>
                <w:szCs w:val="28"/>
                <w:vertAlign w:val="baseline"/>
                <w:lang w:val="en-US" w:eastAsia="zh-CN"/>
              </w:rPr>
              <w:t>3</w:t>
            </w:r>
          </w:p>
        </w:tc>
        <w:tc>
          <w:tcPr>
            <w:tcW w:w="918" w:type="dxa"/>
          </w:tcPr>
          <w:p w14:paraId="334334B9">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28"/>
                <w:szCs w:val="28"/>
                <w:vertAlign w:val="baseline"/>
                <w:lang w:val="en-US" w:eastAsia="zh-CN"/>
              </w:rPr>
            </w:pPr>
          </w:p>
          <w:p w14:paraId="2122EB90">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28"/>
                <w:szCs w:val="28"/>
                <w:vertAlign w:val="baseline"/>
                <w:lang w:val="en-US" w:eastAsia="zh-CN"/>
              </w:rPr>
            </w:pPr>
            <w:r>
              <w:rPr>
                <w:rFonts w:hint="eastAsia" w:ascii="仿宋" w:hAnsi="仿宋" w:eastAsia="仿宋" w:cs="仿宋"/>
                <w:color w:val="000000"/>
                <w:sz w:val="28"/>
                <w:szCs w:val="28"/>
                <w:vertAlign w:val="baseline"/>
                <w:lang w:val="en-US" w:eastAsia="zh-CN"/>
              </w:rPr>
              <w:t>五月</w:t>
            </w:r>
          </w:p>
        </w:tc>
        <w:tc>
          <w:tcPr>
            <w:tcW w:w="7297" w:type="dxa"/>
          </w:tcPr>
          <w:p w14:paraId="4DF659D9">
            <w:pPr>
              <w:pStyle w:val="4"/>
              <w:keepNext w:val="0"/>
              <w:keepLines w:val="0"/>
              <w:pageBreakBefore w:val="0"/>
              <w:widowControl/>
              <w:numPr>
                <w:ilvl w:val="0"/>
                <w:numId w:val="5"/>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28"/>
                <w:szCs w:val="28"/>
                <w:vertAlign w:val="baseline"/>
                <w:lang w:val="en-US" w:eastAsia="zh-CN"/>
              </w:rPr>
            </w:pPr>
            <w:r>
              <w:rPr>
                <w:rFonts w:hint="eastAsia" w:ascii="仿宋" w:hAnsi="仿宋" w:eastAsia="仿宋" w:cs="仿宋"/>
                <w:color w:val="000000"/>
                <w:sz w:val="28"/>
                <w:szCs w:val="28"/>
                <w:vertAlign w:val="baseline"/>
                <w:lang w:val="en-US" w:eastAsia="zh-CN"/>
              </w:rPr>
              <w:t>组织观摩课活动</w:t>
            </w:r>
          </w:p>
          <w:p w14:paraId="193927AC">
            <w:pPr>
              <w:pStyle w:val="4"/>
              <w:keepNext w:val="0"/>
              <w:keepLines w:val="0"/>
              <w:pageBreakBefore w:val="0"/>
              <w:widowControl/>
              <w:numPr>
                <w:ilvl w:val="0"/>
                <w:numId w:val="5"/>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28"/>
                <w:szCs w:val="28"/>
                <w:vertAlign w:val="baseline"/>
                <w:lang w:val="en-US" w:eastAsia="zh-CN"/>
              </w:rPr>
            </w:pPr>
            <w:r>
              <w:rPr>
                <w:rFonts w:hint="eastAsia" w:ascii="仿宋" w:hAnsi="仿宋" w:eastAsia="仿宋" w:cs="仿宋"/>
                <w:color w:val="000000"/>
                <w:sz w:val="28"/>
                <w:szCs w:val="28"/>
                <w:vertAlign w:val="baseline"/>
                <w:lang w:val="en-US" w:eastAsia="zh-CN"/>
              </w:rPr>
              <w:t>组织专题研讨和培训</w:t>
            </w:r>
          </w:p>
          <w:p w14:paraId="22141AEC">
            <w:pPr>
              <w:pStyle w:val="4"/>
              <w:keepNext w:val="0"/>
              <w:keepLines w:val="0"/>
              <w:pageBreakBefore w:val="0"/>
              <w:widowControl/>
              <w:numPr>
                <w:ilvl w:val="0"/>
                <w:numId w:val="5"/>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28"/>
                <w:szCs w:val="28"/>
                <w:vertAlign w:val="baseline"/>
                <w:lang w:val="en-US" w:eastAsia="zh-CN"/>
              </w:rPr>
            </w:pPr>
            <w:r>
              <w:rPr>
                <w:rFonts w:hint="eastAsia" w:ascii="仿宋" w:hAnsi="仿宋" w:eastAsia="仿宋" w:cs="仿宋"/>
                <w:color w:val="000000"/>
                <w:sz w:val="28"/>
                <w:szCs w:val="28"/>
                <w:vertAlign w:val="baseline"/>
                <w:lang w:val="en-US" w:eastAsia="zh-CN"/>
              </w:rPr>
              <w:t>组织学科教研活动</w:t>
            </w:r>
          </w:p>
        </w:tc>
      </w:tr>
      <w:tr w14:paraId="3E4BC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803" w:type="dxa"/>
          </w:tcPr>
          <w:p w14:paraId="6DF804CE">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28"/>
                <w:szCs w:val="28"/>
                <w:vertAlign w:val="baseline"/>
                <w:lang w:val="en-US" w:eastAsia="zh-CN"/>
              </w:rPr>
            </w:pPr>
          </w:p>
          <w:p w14:paraId="6C78270E">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28"/>
                <w:szCs w:val="28"/>
                <w:vertAlign w:val="baseline"/>
                <w:lang w:val="en-US" w:eastAsia="zh-CN"/>
              </w:rPr>
            </w:pPr>
            <w:r>
              <w:rPr>
                <w:rFonts w:hint="eastAsia" w:ascii="仿宋" w:hAnsi="仿宋" w:eastAsia="仿宋" w:cs="仿宋"/>
                <w:color w:val="000000"/>
                <w:sz w:val="28"/>
                <w:szCs w:val="28"/>
                <w:vertAlign w:val="baseline"/>
                <w:lang w:val="en-US" w:eastAsia="zh-CN"/>
              </w:rPr>
              <w:t>4</w:t>
            </w:r>
          </w:p>
        </w:tc>
        <w:tc>
          <w:tcPr>
            <w:tcW w:w="918" w:type="dxa"/>
          </w:tcPr>
          <w:p w14:paraId="4A68FCE4">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28"/>
                <w:szCs w:val="28"/>
                <w:vertAlign w:val="baseline"/>
                <w:lang w:val="en-US" w:eastAsia="zh-CN"/>
              </w:rPr>
            </w:pPr>
          </w:p>
          <w:p w14:paraId="0E4C6B7B">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28"/>
                <w:szCs w:val="28"/>
                <w:vertAlign w:val="baseline"/>
                <w:lang w:val="en-US" w:eastAsia="zh-CN"/>
              </w:rPr>
            </w:pPr>
            <w:r>
              <w:rPr>
                <w:rFonts w:hint="eastAsia" w:ascii="仿宋" w:hAnsi="仿宋" w:eastAsia="仿宋" w:cs="仿宋"/>
                <w:color w:val="000000"/>
                <w:sz w:val="28"/>
                <w:szCs w:val="28"/>
                <w:vertAlign w:val="baseline"/>
                <w:lang w:val="en-US" w:eastAsia="zh-CN"/>
              </w:rPr>
              <w:t>六月</w:t>
            </w:r>
          </w:p>
        </w:tc>
        <w:tc>
          <w:tcPr>
            <w:tcW w:w="7297" w:type="dxa"/>
          </w:tcPr>
          <w:p w14:paraId="147AC6BF">
            <w:pPr>
              <w:pStyle w:val="4"/>
              <w:keepNext w:val="0"/>
              <w:keepLines w:val="0"/>
              <w:pageBreakBefore w:val="0"/>
              <w:widowControl/>
              <w:numPr>
                <w:ilvl w:val="0"/>
                <w:numId w:val="6"/>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28"/>
                <w:szCs w:val="28"/>
                <w:vertAlign w:val="baseline"/>
                <w:lang w:val="en-US" w:eastAsia="zh-CN"/>
              </w:rPr>
            </w:pPr>
            <w:r>
              <w:rPr>
                <w:rFonts w:hint="eastAsia" w:ascii="仿宋" w:hAnsi="仿宋" w:eastAsia="仿宋" w:cs="仿宋"/>
                <w:color w:val="000000"/>
                <w:sz w:val="28"/>
                <w:szCs w:val="28"/>
                <w:vertAlign w:val="baseline"/>
                <w:lang w:val="en-US" w:eastAsia="zh-CN"/>
              </w:rPr>
              <w:t>组织观摩课活动</w:t>
            </w:r>
          </w:p>
          <w:p w14:paraId="39EC94A8">
            <w:pPr>
              <w:pStyle w:val="4"/>
              <w:keepNext w:val="0"/>
              <w:keepLines w:val="0"/>
              <w:pageBreakBefore w:val="0"/>
              <w:widowControl/>
              <w:numPr>
                <w:ilvl w:val="0"/>
                <w:numId w:val="6"/>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28"/>
                <w:szCs w:val="28"/>
                <w:vertAlign w:val="baseline"/>
                <w:lang w:val="en-US" w:eastAsia="zh-CN"/>
              </w:rPr>
            </w:pPr>
            <w:r>
              <w:rPr>
                <w:rFonts w:hint="eastAsia" w:ascii="仿宋" w:hAnsi="仿宋" w:eastAsia="仿宋" w:cs="仿宋"/>
                <w:color w:val="000000"/>
                <w:sz w:val="28"/>
                <w:szCs w:val="28"/>
                <w:vertAlign w:val="baseline"/>
                <w:lang w:val="en-US" w:eastAsia="zh-CN"/>
              </w:rPr>
              <w:t>组织骨干教师教学经验分享会</w:t>
            </w:r>
          </w:p>
        </w:tc>
      </w:tr>
      <w:tr w14:paraId="1C93A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803" w:type="dxa"/>
          </w:tcPr>
          <w:p w14:paraId="0B9F461B">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28"/>
                <w:szCs w:val="28"/>
                <w:vertAlign w:val="baseline"/>
                <w:lang w:val="en-US" w:eastAsia="zh-CN"/>
              </w:rPr>
            </w:pPr>
          </w:p>
          <w:p w14:paraId="1D7B71F2">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28"/>
                <w:szCs w:val="28"/>
                <w:vertAlign w:val="baseline"/>
                <w:lang w:val="en-US" w:eastAsia="zh-CN"/>
              </w:rPr>
            </w:pPr>
            <w:r>
              <w:rPr>
                <w:rFonts w:hint="eastAsia" w:ascii="仿宋" w:hAnsi="仿宋" w:eastAsia="仿宋" w:cs="仿宋"/>
                <w:color w:val="000000"/>
                <w:sz w:val="28"/>
                <w:szCs w:val="28"/>
                <w:vertAlign w:val="baseline"/>
                <w:lang w:val="en-US" w:eastAsia="zh-CN"/>
              </w:rPr>
              <w:t>5</w:t>
            </w:r>
          </w:p>
        </w:tc>
        <w:tc>
          <w:tcPr>
            <w:tcW w:w="918" w:type="dxa"/>
          </w:tcPr>
          <w:p w14:paraId="265251B9">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28"/>
                <w:szCs w:val="28"/>
                <w:vertAlign w:val="baseline"/>
                <w:lang w:val="en-US" w:eastAsia="zh-CN"/>
              </w:rPr>
            </w:pPr>
          </w:p>
          <w:p w14:paraId="0BDFEC50">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28"/>
                <w:szCs w:val="28"/>
                <w:vertAlign w:val="baseline"/>
                <w:lang w:val="en-US" w:eastAsia="zh-CN"/>
              </w:rPr>
            </w:pPr>
            <w:r>
              <w:rPr>
                <w:rFonts w:hint="eastAsia" w:ascii="仿宋" w:hAnsi="仿宋" w:eastAsia="仿宋" w:cs="仿宋"/>
                <w:color w:val="000000"/>
                <w:sz w:val="28"/>
                <w:szCs w:val="28"/>
                <w:vertAlign w:val="baseline"/>
                <w:lang w:val="en-US" w:eastAsia="zh-CN"/>
              </w:rPr>
              <w:t>七月</w:t>
            </w:r>
          </w:p>
        </w:tc>
        <w:tc>
          <w:tcPr>
            <w:tcW w:w="7297" w:type="dxa"/>
          </w:tcPr>
          <w:p w14:paraId="670829AF">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28"/>
                <w:szCs w:val="28"/>
                <w:vertAlign w:val="baseline"/>
                <w:lang w:val="en-US" w:eastAsia="zh-CN"/>
              </w:rPr>
            </w:pPr>
            <w:r>
              <w:rPr>
                <w:rFonts w:hint="eastAsia" w:ascii="仿宋" w:hAnsi="仿宋" w:eastAsia="仿宋" w:cs="仿宋"/>
                <w:color w:val="000000"/>
                <w:sz w:val="28"/>
                <w:szCs w:val="28"/>
                <w:vertAlign w:val="baseline"/>
                <w:lang w:val="en-US" w:eastAsia="zh-CN"/>
              </w:rPr>
              <w:t>1.评选优秀课例、优秀教师、优秀学科组</w:t>
            </w:r>
          </w:p>
          <w:p w14:paraId="2D348B58">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28"/>
                <w:szCs w:val="28"/>
                <w:vertAlign w:val="baseline"/>
                <w:lang w:val="en-US" w:eastAsia="zh-CN"/>
              </w:rPr>
            </w:pPr>
            <w:r>
              <w:rPr>
                <w:rFonts w:hint="eastAsia" w:ascii="仿宋" w:hAnsi="仿宋" w:eastAsia="仿宋" w:cs="仿宋"/>
                <w:color w:val="000000"/>
                <w:sz w:val="28"/>
                <w:szCs w:val="28"/>
                <w:vertAlign w:val="baseline"/>
                <w:lang w:val="en-US" w:eastAsia="zh-CN"/>
              </w:rPr>
              <w:t>2.召开第一阶段教学改革总结会议</w:t>
            </w:r>
          </w:p>
        </w:tc>
      </w:tr>
      <w:tr w14:paraId="2C3F6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803" w:type="dxa"/>
          </w:tcPr>
          <w:p w14:paraId="656B1655">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28"/>
                <w:szCs w:val="28"/>
                <w:vertAlign w:val="baseline"/>
                <w:lang w:val="en-US" w:eastAsia="zh-CN"/>
              </w:rPr>
            </w:pPr>
          </w:p>
          <w:p w14:paraId="26AAD8F9">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28"/>
                <w:szCs w:val="28"/>
                <w:vertAlign w:val="baseline"/>
                <w:lang w:val="en-US" w:eastAsia="zh-CN"/>
              </w:rPr>
            </w:pPr>
            <w:r>
              <w:rPr>
                <w:rFonts w:hint="eastAsia" w:ascii="仿宋" w:hAnsi="仿宋" w:eastAsia="仿宋" w:cs="仿宋"/>
                <w:color w:val="000000"/>
                <w:sz w:val="28"/>
                <w:szCs w:val="28"/>
                <w:vertAlign w:val="baseline"/>
                <w:lang w:val="en-US" w:eastAsia="zh-CN"/>
              </w:rPr>
              <w:t>6</w:t>
            </w:r>
          </w:p>
        </w:tc>
        <w:tc>
          <w:tcPr>
            <w:tcW w:w="918" w:type="dxa"/>
          </w:tcPr>
          <w:p w14:paraId="7E29CEF6">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28"/>
                <w:szCs w:val="28"/>
                <w:vertAlign w:val="baseline"/>
                <w:lang w:val="en-US" w:eastAsia="zh-CN"/>
              </w:rPr>
            </w:pPr>
          </w:p>
          <w:p w14:paraId="509BB19A">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28"/>
                <w:szCs w:val="28"/>
                <w:vertAlign w:val="baseline"/>
                <w:lang w:val="en-US" w:eastAsia="zh-CN"/>
              </w:rPr>
            </w:pPr>
            <w:r>
              <w:rPr>
                <w:rFonts w:hint="eastAsia" w:ascii="仿宋" w:hAnsi="仿宋" w:eastAsia="仿宋" w:cs="仿宋"/>
                <w:color w:val="000000"/>
                <w:sz w:val="28"/>
                <w:szCs w:val="28"/>
                <w:vertAlign w:val="baseline"/>
                <w:lang w:val="en-US" w:eastAsia="zh-CN"/>
              </w:rPr>
              <w:t>八月</w:t>
            </w:r>
          </w:p>
        </w:tc>
        <w:tc>
          <w:tcPr>
            <w:tcW w:w="7297" w:type="dxa"/>
          </w:tcPr>
          <w:p w14:paraId="7BFE0F55">
            <w:pPr>
              <w:pStyle w:val="4"/>
              <w:keepNext w:val="0"/>
              <w:keepLines w:val="0"/>
              <w:pageBreakBefore w:val="0"/>
              <w:widowControl/>
              <w:numPr>
                <w:ilvl w:val="0"/>
                <w:numId w:val="7"/>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28"/>
                <w:szCs w:val="28"/>
                <w:vertAlign w:val="baseline"/>
                <w:lang w:val="en-US" w:eastAsia="zh-CN"/>
              </w:rPr>
            </w:pPr>
            <w:r>
              <w:rPr>
                <w:rFonts w:hint="eastAsia" w:ascii="仿宋" w:hAnsi="仿宋" w:eastAsia="仿宋" w:cs="仿宋"/>
                <w:color w:val="000000"/>
                <w:sz w:val="28"/>
                <w:szCs w:val="28"/>
                <w:vertAlign w:val="baseline"/>
                <w:lang w:val="en-US" w:eastAsia="zh-CN"/>
              </w:rPr>
              <w:t>组织学科教研活动</w:t>
            </w:r>
          </w:p>
          <w:p w14:paraId="4EEE23AB">
            <w:pPr>
              <w:pStyle w:val="4"/>
              <w:keepNext w:val="0"/>
              <w:keepLines w:val="0"/>
              <w:pageBreakBefore w:val="0"/>
              <w:widowControl/>
              <w:numPr>
                <w:ilvl w:val="0"/>
                <w:numId w:val="7"/>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28"/>
                <w:szCs w:val="28"/>
                <w:vertAlign w:val="baseline"/>
                <w:lang w:val="en-US" w:eastAsia="zh-CN"/>
              </w:rPr>
            </w:pPr>
            <w:r>
              <w:rPr>
                <w:rFonts w:hint="eastAsia" w:ascii="仿宋" w:hAnsi="仿宋" w:eastAsia="仿宋" w:cs="仿宋"/>
                <w:color w:val="000000"/>
                <w:sz w:val="28"/>
                <w:szCs w:val="28"/>
                <w:vertAlign w:val="baseline"/>
                <w:lang w:val="en-US" w:eastAsia="zh-CN"/>
              </w:rPr>
              <w:t>组织专题研讨</w:t>
            </w:r>
          </w:p>
        </w:tc>
      </w:tr>
      <w:tr w14:paraId="6759A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803" w:type="dxa"/>
          </w:tcPr>
          <w:p w14:paraId="3712D279">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28"/>
                <w:szCs w:val="28"/>
                <w:vertAlign w:val="baseline"/>
                <w:lang w:val="en-US" w:eastAsia="zh-CN"/>
              </w:rPr>
            </w:pPr>
          </w:p>
          <w:p w14:paraId="1BE93DC8">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28"/>
                <w:szCs w:val="28"/>
                <w:vertAlign w:val="baseline"/>
                <w:lang w:val="en-US" w:eastAsia="zh-CN"/>
              </w:rPr>
            </w:pPr>
            <w:r>
              <w:rPr>
                <w:rFonts w:hint="eastAsia" w:ascii="仿宋" w:hAnsi="仿宋" w:eastAsia="仿宋" w:cs="仿宋"/>
                <w:color w:val="000000"/>
                <w:sz w:val="28"/>
                <w:szCs w:val="28"/>
                <w:vertAlign w:val="baseline"/>
                <w:lang w:val="en-US" w:eastAsia="zh-CN"/>
              </w:rPr>
              <w:t>7</w:t>
            </w:r>
          </w:p>
        </w:tc>
        <w:tc>
          <w:tcPr>
            <w:tcW w:w="918" w:type="dxa"/>
          </w:tcPr>
          <w:p w14:paraId="06C3716D">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28"/>
                <w:szCs w:val="28"/>
                <w:vertAlign w:val="baseline"/>
                <w:lang w:val="en-US" w:eastAsia="zh-CN"/>
              </w:rPr>
            </w:pPr>
          </w:p>
          <w:p w14:paraId="3A779F26">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28"/>
                <w:szCs w:val="28"/>
                <w:vertAlign w:val="baseline"/>
                <w:lang w:val="en-US" w:eastAsia="zh-CN"/>
              </w:rPr>
            </w:pPr>
            <w:r>
              <w:rPr>
                <w:rFonts w:hint="eastAsia" w:ascii="仿宋" w:hAnsi="仿宋" w:eastAsia="仿宋" w:cs="仿宋"/>
                <w:color w:val="000000"/>
                <w:sz w:val="28"/>
                <w:szCs w:val="28"/>
                <w:vertAlign w:val="baseline"/>
                <w:lang w:val="en-US" w:eastAsia="zh-CN"/>
              </w:rPr>
              <w:t>九月</w:t>
            </w:r>
          </w:p>
        </w:tc>
        <w:tc>
          <w:tcPr>
            <w:tcW w:w="7297" w:type="dxa"/>
          </w:tcPr>
          <w:p w14:paraId="195BBE6E">
            <w:pPr>
              <w:pStyle w:val="4"/>
              <w:keepNext w:val="0"/>
              <w:keepLines w:val="0"/>
              <w:pageBreakBefore w:val="0"/>
              <w:widowControl/>
              <w:numPr>
                <w:ilvl w:val="0"/>
                <w:numId w:val="8"/>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28"/>
                <w:szCs w:val="28"/>
                <w:vertAlign w:val="baseline"/>
                <w:lang w:val="en-US" w:eastAsia="zh-CN"/>
              </w:rPr>
            </w:pPr>
            <w:r>
              <w:rPr>
                <w:rFonts w:hint="eastAsia" w:ascii="仿宋" w:hAnsi="仿宋" w:eastAsia="仿宋" w:cs="仿宋"/>
                <w:color w:val="000000"/>
                <w:sz w:val="28"/>
                <w:szCs w:val="28"/>
                <w:vertAlign w:val="baseline"/>
                <w:lang w:val="en-US" w:eastAsia="zh-CN"/>
              </w:rPr>
              <w:t>组织骨干教师示范课</w:t>
            </w:r>
          </w:p>
          <w:p w14:paraId="5160A392">
            <w:pPr>
              <w:pStyle w:val="4"/>
              <w:keepNext w:val="0"/>
              <w:keepLines w:val="0"/>
              <w:pageBreakBefore w:val="0"/>
              <w:widowControl/>
              <w:numPr>
                <w:ilvl w:val="0"/>
                <w:numId w:val="8"/>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28"/>
                <w:szCs w:val="28"/>
                <w:vertAlign w:val="baseline"/>
                <w:lang w:val="en-US" w:eastAsia="zh-CN"/>
              </w:rPr>
            </w:pPr>
            <w:r>
              <w:rPr>
                <w:rFonts w:hint="eastAsia" w:ascii="仿宋" w:hAnsi="仿宋" w:eastAsia="仿宋" w:cs="仿宋"/>
                <w:color w:val="000000"/>
                <w:sz w:val="28"/>
                <w:szCs w:val="28"/>
                <w:vertAlign w:val="baseline"/>
                <w:lang w:val="en-US" w:eastAsia="zh-CN"/>
              </w:rPr>
              <w:t>优秀学科组经验交流分享会</w:t>
            </w:r>
          </w:p>
        </w:tc>
      </w:tr>
      <w:tr w14:paraId="3CB8F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803" w:type="dxa"/>
          </w:tcPr>
          <w:p w14:paraId="2B4E563C">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28"/>
                <w:szCs w:val="28"/>
                <w:vertAlign w:val="baseline"/>
                <w:lang w:val="en-US" w:eastAsia="zh-CN"/>
              </w:rPr>
            </w:pPr>
            <w:r>
              <w:rPr>
                <w:rFonts w:hint="eastAsia" w:ascii="仿宋" w:hAnsi="仿宋" w:eastAsia="仿宋" w:cs="仿宋"/>
                <w:color w:val="000000"/>
                <w:sz w:val="28"/>
                <w:szCs w:val="28"/>
                <w:vertAlign w:val="baseline"/>
                <w:lang w:val="en-US" w:eastAsia="zh-CN"/>
              </w:rPr>
              <w:t>8</w:t>
            </w:r>
          </w:p>
        </w:tc>
        <w:tc>
          <w:tcPr>
            <w:tcW w:w="918" w:type="dxa"/>
          </w:tcPr>
          <w:p w14:paraId="0D93FD2B">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28"/>
                <w:szCs w:val="28"/>
                <w:vertAlign w:val="baseline"/>
                <w:lang w:val="en-US" w:eastAsia="zh-CN"/>
              </w:rPr>
            </w:pPr>
            <w:r>
              <w:rPr>
                <w:rFonts w:hint="eastAsia" w:ascii="仿宋" w:hAnsi="仿宋" w:eastAsia="仿宋" w:cs="仿宋"/>
                <w:color w:val="000000"/>
                <w:sz w:val="28"/>
                <w:szCs w:val="28"/>
                <w:vertAlign w:val="baseline"/>
                <w:lang w:val="en-US" w:eastAsia="zh-CN"/>
              </w:rPr>
              <w:t>十月</w:t>
            </w:r>
          </w:p>
        </w:tc>
        <w:tc>
          <w:tcPr>
            <w:tcW w:w="7297" w:type="dxa"/>
          </w:tcPr>
          <w:p w14:paraId="36ADCCF9">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28"/>
                <w:szCs w:val="28"/>
                <w:vertAlign w:val="baseline"/>
                <w:lang w:val="en-US" w:eastAsia="zh-CN"/>
              </w:rPr>
            </w:pPr>
            <w:r>
              <w:rPr>
                <w:rFonts w:hint="eastAsia" w:ascii="仿宋" w:hAnsi="仿宋" w:eastAsia="仿宋" w:cs="仿宋"/>
                <w:color w:val="000000"/>
                <w:sz w:val="28"/>
                <w:szCs w:val="28"/>
                <w:vertAlign w:val="baseline"/>
                <w:lang w:val="en-US" w:eastAsia="zh-CN"/>
              </w:rPr>
              <w:t>组织全员汇报课</w:t>
            </w:r>
          </w:p>
        </w:tc>
      </w:tr>
      <w:tr w14:paraId="59D2E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803" w:type="dxa"/>
          </w:tcPr>
          <w:p w14:paraId="3F23EE0A">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28"/>
                <w:szCs w:val="28"/>
                <w:vertAlign w:val="baseline"/>
                <w:lang w:val="en-US" w:eastAsia="zh-CN"/>
              </w:rPr>
            </w:pPr>
            <w:r>
              <w:rPr>
                <w:rFonts w:hint="eastAsia" w:ascii="仿宋" w:hAnsi="仿宋" w:eastAsia="仿宋" w:cs="仿宋"/>
                <w:color w:val="000000"/>
                <w:sz w:val="28"/>
                <w:szCs w:val="28"/>
                <w:vertAlign w:val="baseline"/>
                <w:lang w:val="en-US" w:eastAsia="zh-CN"/>
              </w:rPr>
              <w:t>9</w:t>
            </w:r>
          </w:p>
        </w:tc>
        <w:tc>
          <w:tcPr>
            <w:tcW w:w="918" w:type="dxa"/>
          </w:tcPr>
          <w:p w14:paraId="397CBF3C">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28"/>
                <w:szCs w:val="28"/>
                <w:vertAlign w:val="baseline"/>
                <w:lang w:val="en-US" w:eastAsia="zh-CN"/>
              </w:rPr>
            </w:pPr>
            <w:r>
              <w:rPr>
                <w:rFonts w:hint="eastAsia" w:ascii="仿宋" w:hAnsi="仿宋" w:eastAsia="仿宋" w:cs="仿宋"/>
                <w:color w:val="000000"/>
                <w:sz w:val="28"/>
                <w:szCs w:val="28"/>
                <w:vertAlign w:val="baseline"/>
                <w:lang w:val="en-US" w:eastAsia="zh-CN"/>
              </w:rPr>
              <w:t>十一月</w:t>
            </w:r>
          </w:p>
        </w:tc>
        <w:tc>
          <w:tcPr>
            <w:tcW w:w="7297" w:type="dxa"/>
          </w:tcPr>
          <w:p w14:paraId="23592A54">
            <w:pPr>
              <w:pStyle w:val="4"/>
              <w:keepNext w:val="0"/>
              <w:keepLines w:val="0"/>
              <w:pageBreakBefore w:val="0"/>
              <w:widowControl/>
              <w:numPr>
                <w:ilvl w:val="0"/>
                <w:numId w:val="9"/>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28"/>
                <w:szCs w:val="28"/>
                <w:vertAlign w:val="baseline"/>
                <w:lang w:val="en-US" w:eastAsia="zh-CN"/>
              </w:rPr>
            </w:pPr>
            <w:r>
              <w:rPr>
                <w:rFonts w:hint="eastAsia" w:ascii="仿宋" w:hAnsi="仿宋" w:eastAsia="仿宋" w:cs="仿宋"/>
                <w:color w:val="000000"/>
                <w:sz w:val="28"/>
                <w:szCs w:val="28"/>
                <w:vertAlign w:val="baseline"/>
                <w:lang w:val="en-US" w:eastAsia="zh-CN"/>
              </w:rPr>
              <w:t>组织全员汇报课</w:t>
            </w:r>
          </w:p>
          <w:p w14:paraId="5B65CEB9">
            <w:pPr>
              <w:pStyle w:val="4"/>
              <w:keepNext w:val="0"/>
              <w:keepLines w:val="0"/>
              <w:pageBreakBefore w:val="0"/>
              <w:widowControl/>
              <w:numPr>
                <w:ilvl w:val="0"/>
                <w:numId w:val="9"/>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28"/>
                <w:szCs w:val="28"/>
                <w:vertAlign w:val="baseline"/>
                <w:lang w:val="en-US" w:eastAsia="zh-CN"/>
              </w:rPr>
            </w:pPr>
            <w:r>
              <w:rPr>
                <w:rFonts w:hint="eastAsia" w:ascii="仿宋" w:hAnsi="仿宋" w:eastAsia="仿宋" w:cs="仿宋"/>
                <w:color w:val="000000"/>
                <w:sz w:val="28"/>
                <w:szCs w:val="28"/>
                <w:vertAlign w:val="baseline"/>
                <w:lang w:val="en-US" w:eastAsia="zh-CN"/>
              </w:rPr>
              <w:t>课改成果提炼整理汇总</w:t>
            </w:r>
          </w:p>
        </w:tc>
      </w:tr>
      <w:tr w14:paraId="63A4B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03" w:type="dxa"/>
          </w:tcPr>
          <w:p w14:paraId="081970C8">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28"/>
                <w:szCs w:val="28"/>
                <w:vertAlign w:val="baseline"/>
                <w:lang w:val="en-US" w:eastAsia="zh-CN"/>
              </w:rPr>
            </w:pPr>
            <w:r>
              <w:rPr>
                <w:rFonts w:hint="eastAsia" w:ascii="仿宋" w:hAnsi="仿宋" w:eastAsia="仿宋" w:cs="仿宋"/>
                <w:color w:val="000000"/>
                <w:sz w:val="28"/>
                <w:szCs w:val="28"/>
                <w:vertAlign w:val="baseline"/>
                <w:lang w:val="en-US" w:eastAsia="zh-CN"/>
              </w:rPr>
              <w:t>10</w:t>
            </w:r>
          </w:p>
        </w:tc>
        <w:tc>
          <w:tcPr>
            <w:tcW w:w="918" w:type="dxa"/>
          </w:tcPr>
          <w:p w14:paraId="7F33BC21">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28"/>
                <w:szCs w:val="28"/>
                <w:vertAlign w:val="baseline"/>
                <w:lang w:val="en-US" w:eastAsia="zh-CN"/>
              </w:rPr>
            </w:pPr>
            <w:r>
              <w:rPr>
                <w:rFonts w:hint="eastAsia" w:ascii="仿宋" w:hAnsi="仿宋" w:eastAsia="仿宋" w:cs="仿宋"/>
                <w:color w:val="000000"/>
                <w:sz w:val="28"/>
                <w:szCs w:val="28"/>
                <w:vertAlign w:val="baseline"/>
                <w:lang w:val="en-US" w:eastAsia="zh-CN"/>
              </w:rPr>
              <w:t>十二月</w:t>
            </w:r>
          </w:p>
        </w:tc>
        <w:tc>
          <w:tcPr>
            <w:tcW w:w="7297" w:type="dxa"/>
          </w:tcPr>
          <w:p w14:paraId="43C05E62">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28"/>
                <w:szCs w:val="28"/>
                <w:vertAlign w:val="baseline"/>
                <w:lang w:val="en-US" w:eastAsia="zh-CN"/>
              </w:rPr>
            </w:pPr>
            <w:r>
              <w:rPr>
                <w:rFonts w:hint="eastAsia" w:ascii="仿宋" w:hAnsi="仿宋" w:eastAsia="仿宋" w:cs="仿宋"/>
                <w:color w:val="000000"/>
                <w:sz w:val="28"/>
                <w:szCs w:val="28"/>
                <w:vertAlign w:val="baseline"/>
                <w:lang w:val="en-US" w:eastAsia="zh-CN"/>
              </w:rPr>
              <w:t>召开教学改革总结汇报会</w:t>
            </w:r>
          </w:p>
        </w:tc>
      </w:tr>
    </w:tbl>
    <w:p w14:paraId="4BBC13F9">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40" w:lineRule="exact"/>
        <w:ind w:right="0" w:rightChars="0"/>
        <w:jc w:val="both"/>
        <w:textAlignment w:val="auto"/>
        <w:rPr>
          <w:rFonts w:hint="eastAsia" w:ascii="仿宋" w:hAnsi="仿宋" w:eastAsia="仿宋" w:cs="仿宋"/>
          <w:color w:val="000000"/>
          <w:sz w:val="32"/>
          <w:szCs w:val="32"/>
          <w:lang w:val="en-US" w:eastAsia="zh-CN"/>
        </w:rPr>
      </w:pPr>
    </w:p>
    <w:p w14:paraId="7D0AFA0B">
      <w:pPr>
        <w:numPr>
          <w:ilvl w:val="0"/>
          <w:numId w:val="0"/>
        </w:numPr>
        <w:spacing w:line="400" w:lineRule="exact"/>
        <w:ind w:left="420" w:leftChars="0"/>
        <w:rPr>
          <w:rFonts w:hint="eastAsia" w:ascii="黑体" w:hAnsi="黑体" w:eastAsia="黑体" w:cs="黑体"/>
          <w:sz w:val="32"/>
          <w:szCs w:val="32"/>
        </w:rPr>
      </w:pPr>
      <w:r>
        <w:rPr>
          <w:rFonts w:hint="eastAsia" w:ascii="黑体" w:hAnsi="黑体" w:eastAsia="黑体" w:cs="黑体"/>
          <w:b/>
          <w:sz w:val="32"/>
          <w:szCs w:val="32"/>
          <w:lang w:val="en-US" w:eastAsia="zh-CN"/>
        </w:rPr>
        <w:t>四、保障措施</w:t>
      </w:r>
    </w:p>
    <w:p w14:paraId="370B0904">
      <w:pPr>
        <w:numPr>
          <w:ilvl w:val="0"/>
          <w:numId w:val="0"/>
        </w:numPr>
        <w:spacing w:line="400" w:lineRule="exact"/>
        <w:ind w:firstLine="628" w:firstLineChars="200"/>
        <w:rPr>
          <w:rFonts w:hint="eastAsia" w:ascii="楷体" w:hAnsi="楷体" w:eastAsia="楷体" w:cs="楷体"/>
          <w:spacing w:val="-3"/>
          <w:sz w:val="32"/>
          <w:szCs w:val="32"/>
          <w:lang w:val="en-US" w:eastAsia="zh-CN"/>
        </w:rPr>
      </w:pPr>
      <w:r>
        <w:rPr>
          <w:rFonts w:hint="eastAsia" w:ascii="楷体" w:hAnsi="楷体" w:eastAsia="楷体" w:cs="楷体"/>
          <w:spacing w:val="-3"/>
          <w:sz w:val="32"/>
          <w:szCs w:val="32"/>
          <w:lang w:val="en-US" w:eastAsia="zh-CN"/>
        </w:rPr>
        <w:t>（一）加强组织领导</w:t>
      </w:r>
    </w:p>
    <w:p w14:paraId="2A936B47">
      <w:pPr>
        <w:numPr>
          <w:ilvl w:val="0"/>
          <w:numId w:val="0"/>
        </w:numPr>
        <w:spacing w:line="40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由教务处和教科室为主成立工作小组，整体负责课堂教学改革实施和推进工作。以领军人才培养人选、青年教师和骨干教师为主力具体开展工作。</w:t>
      </w:r>
    </w:p>
    <w:p w14:paraId="29A292AF">
      <w:pPr>
        <w:numPr>
          <w:ilvl w:val="0"/>
          <w:numId w:val="0"/>
        </w:numPr>
        <w:spacing w:line="400" w:lineRule="exac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组长：盖明礼</w:t>
      </w:r>
    </w:p>
    <w:p w14:paraId="0756903B">
      <w:pPr>
        <w:numPr>
          <w:ilvl w:val="0"/>
          <w:numId w:val="0"/>
        </w:numPr>
        <w:spacing w:line="40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副组长：梁风磊 陶淑艳</w:t>
      </w:r>
    </w:p>
    <w:p w14:paraId="48251E3C">
      <w:pPr>
        <w:numPr>
          <w:ilvl w:val="0"/>
          <w:numId w:val="0"/>
        </w:numPr>
        <w:spacing w:line="40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组员：贾培林 李双涛 仲金萍 张玉玲 </w:t>
      </w:r>
    </w:p>
    <w:p w14:paraId="0CB9686D">
      <w:pPr>
        <w:numPr>
          <w:ilvl w:val="0"/>
          <w:numId w:val="0"/>
        </w:numPr>
        <w:spacing w:line="40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研究团队成员：各级部备课组长、领军人才培养人选、骨干教师</w:t>
      </w:r>
    </w:p>
    <w:p w14:paraId="5D709864">
      <w:pPr>
        <w:numPr>
          <w:ilvl w:val="0"/>
          <w:numId w:val="0"/>
        </w:numPr>
        <w:spacing w:line="400" w:lineRule="exact"/>
        <w:ind w:firstLine="628" w:firstLineChars="200"/>
        <w:rPr>
          <w:rFonts w:hint="eastAsia" w:ascii="仿宋" w:hAnsi="仿宋" w:eastAsia="仿宋" w:cs="仿宋"/>
          <w:sz w:val="32"/>
          <w:szCs w:val="32"/>
          <w:lang w:val="en-US" w:eastAsia="zh-CN"/>
        </w:rPr>
      </w:pPr>
      <w:r>
        <w:rPr>
          <w:rFonts w:hint="eastAsia" w:ascii="楷体" w:hAnsi="楷体" w:eastAsia="楷体" w:cs="楷体"/>
          <w:spacing w:val="-3"/>
          <w:sz w:val="32"/>
          <w:szCs w:val="32"/>
          <w:lang w:val="en-US" w:eastAsia="zh-CN"/>
        </w:rPr>
        <w:t>（二）评价与奖励</w:t>
      </w:r>
      <w:r>
        <w:rPr>
          <w:rFonts w:hint="eastAsia" w:ascii="仿宋" w:hAnsi="仿宋" w:eastAsia="仿宋" w:cs="仿宋"/>
          <w:sz w:val="32"/>
          <w:szCs w:val="32"/>
          <w:lang w:val="en-US" w:eastAsia="zh-CN"/>
        </w:rPr>
        <w:t xml:space="preserve"> </w:t>
      </w:r>
    </w:p>
    <w:p w14:paraId="1BFF4F67">
      <w:pPr>
        <w:numPr>
          <w:ilvl w:val="0"/>
          <w:numId w:val="0"/>
        </w:numPr>
        <w:spacing w:line="40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通过学校验收的教师将优先推荐参加上级教育主管部门组织的优质课评选活动。</w:t>
      </w:r>
    </w:p>
    <w:p w14:paraId="5C5796DB">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84" w:lineRule="exact"/>
        <w:ind w:left="420" w:leftChars="0" w:right="0" w:rightChars="0"/>
        <w:jc w:val="both"/>
        <w:textAlignment w:val="auto"/>
        <w:rPr>
          <w:rStyle w:val="8"/>
          <w:rFonts w:hint="eastAsia" w:ascii="仿宋" w:hAnsi="仿宋" w:eastAsia="仿宋" w:cs="仿宋"/>
          <w:color w:val="000000"/>
          <w:sz w:val="32"/>
          <w:szCs w:val="32"/>
        </w:rPr>
      </w:pPr>
    </w:p>
    <w:p w14:paraId="5A313999">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84" w:lineRule="exact"/>
        <w:ind w:left="420" w:leftChars="0" w:right="0" w:rightChars="0"/>
        <w:jc w:val="both"/>
        <w:textAlignment w:val="auto"/>
        <w:rPr>
          <w:rStyle w:val="8"/>
          <w:rFonts w:hint="eastAsia" w:ascii="仿宋" w:hAnsi="仿宋" w:eastAsia="仿宋" w:cs="仿宋"/>
          <w:color w:val="000000"/>
          <w:sz w:val="32"/>
          <w:szCs w:val="32"/>
        </w:rPr>
      </w:pPr>
    </w:p>
    <w:p w14:paraId="76824A35">
      <w:pPr>
        <w:keepNext w:val="0"/>
        <w:keepLines w:val="0"/>
        <w:pageBreakBefore w:val="0"/>
        <w:widowControl/>
        <w:suppressLineNumbers w:val="0"/>
        <w:kinsoku/>
        <w:wordWrap/>
        <w:overflowPunct/>
        <w:topLinePunct w:val="0"/>
        <w:autoSpaceDE/>
        <w:autoSpaceDN/>
        <w:bidi w:val="0"/>
        <w:adjustRightInd/>
        <w:snapToGrid/>
        <w:spacing w:beforeAutospacing="0" w:afterAutospacing="0" w:line="584" w:lineRule="exact"/>
        <w:jc w:val="left"/>
        <w:textAlignment w:val="auto"/>
        <w:rPr>
          <w:rFonts w:hint="eastAsia" w:ascii="仿宋" w:hAnsi="仿宋" w:eastAsia="仿宋" w:cs="仿宋"/>
          <w:sz w:val="32"/>
          <w:szCs w:val="32"/>
        </w:rPr>
      </w:pPr>
    </w:p>
    <w:p w14:paraId="57400ACB">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84" w:lineRule="exact"/>
        <w:ind w:leftChars="200" w:right="0" w:rightChars="0"/>
        <w:jc w:val="both"/>
        <w:textAlignment w:val="auto"/>
        <w:rPr>
          <w:rFonts w:hint="eastAsia" w:ascii="仿宋" w:hAnsi="仿宋" w:eastAsia="仿宋" w:cs="仿宋"/>
          <w:color w:val="000000"/>
          <w:sz w:val="32"/>
          <w:szCs w:val="32"/>
          <w:lang w:val="en-US" w:eastAsia="zh-CN"/>
        </w:rPr>
      </w:pPr>
    </w:p>
    <w:p w14:paraId="7FD05642">
      <w:pPr>
        <w:jc w:val="center"/>
        <w:rPr>
          <w:rFonts w:hint="eastAsia" w:ascii="方正小标宋简体" w:hAnsi="方正小标宋简体" w:eastAsia="方正小标宋简体" w:cs="方正小标宋简体"/>
          <w:sz w:val="36"/>
          <w:szCs w:val="36"/>
          <w:lang w:val="en-US" w:eastAsia="zh-CN"/>
        </w:rPr>
      </w:pPr>
    </w:p>
    <w:sectPr>
      <w:footerReference r:id="rId3" w:type="default"/>
      <w:pgSz w:w="11906" w:h="16838"/>
      <w:pgMar w:top="2098" w:right="1531" w:bottom="187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29A22C">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0E3A9D">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F0E3A9D">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4DAEA1"/>
    <w:multiLevelType w:val="singleLevel"/>
    <w:tmpl w:val="AC4DAEA1"/>
    <w:lvl w:ilvl="0" w:tentative="0">
      <w:start w:val="1"/>
      <w:numFmt w:val="decimal"/>
      <w:lvlText w:val="%1."/>
      <w:lvlJc w:val="left"/>
      <w:pPr>
        <w:tabs>
          <w:tab w:val="left" w:pos="312"/>
        </w:tabs>
      </w:pPr>
    </w:lvl>
  </w:abstractNum>
  <w:abstractNum w:abstractNumId="1">
    <w:nsid w:val="B96268CF"/>
    <w:multiLevelType w:val="singleLevel"/>
    <w:tmpl w:val="B96268CF"/>
    <w:lvl w:ilvl="0" w:tentative="0">
      <w:start w:val="1"/>
      <w:numFmt w:val="chineseCounting"/>
      <w:suff w:val="nothing"/>
      <w:lvlText w:val="%1、"/>
      <w:lvlJc w:val="left"/>
      <w:rPr>
        <w:rFonts w:hint="eastAsia"/>
      </w:rPr>
    </w:lvl>
  </w:abstractNum>
  <w:abstractNum w:abstractNumId="2">
    <w:nsid w:val="EE13F234"/>
    <w:multiLevelType w:val="singleLevel"/>
    <w:tmpl w:val="EE13F234"/>
    <w:lvl w:ilvl="0" w:tentative="0">
      <w:start w:val="1"/>
      <w:numFmt w:val="decimal"/>
      <w:lvlText w:val="%1."/>
      <w:lvlJc w:val="left"/>
      <w:pPr>
        <w:tabs>
          <w:tab w:val="left" w:pos="312"/>
        </w:tabs>
      </w:pPr>
    </w:lvl>
  </w:abstractNum>
  <w:abstractNum w:abstractNumId="3">
    <w:nsid w:val="F3BFE7B1"/>
    <w:multiLevelType w:val="singleLevel"/>
    <w:tmpl w:val="F3BFE7B1"/>
    <w:lvl w:ilvl="0" w:tentative="0">
      <w:start w:val="1"/>
      <w:numFmt w:val="decimal"/>
      <w:lvlText w:val="%1."/>
      <w:lvlJc w:val="left"/>
      <w:pPr>
        <w:tabs>
          <w:tab w:val="left" w:pos="312"/>
        </w:tabs>
      </w:pPr>
    </w:lvl>
  </w:abstractNum>
  <w:abstractNum w:abstractNumId="4">
    <w:nsid w:val="FE94D8D4"/>
    <w:multiLevelType w:val="singleLevel"/>
    <w:tmpl w:val="FE94D8D4"/>
    <w:lvl w:ilvl="0" w:tentative="0">
      <w:start w:val="1"/>
      <w:numFmt w:val="decimal"/>
      <w:lvlText w:val="%1."/>
      <w:lvlJc w:val="left"/>
      <w:pPr>
        <w:tabs>
          <w:tab w:val="left" w:pos="312"/>
        </w:tabs>
      </w:pPr>
    </w:lvl>
  </w:abstractNum>
  <w:abstractNum w:abstractNumId="5">
    <w:nsid w:val="2799298D"/>
    <w:multiLevelType w:val="singleLevel"/>
    <w:tmpl w:val="2799298D"/>
    <w:lvl w:ilvl="0" w:tentative="0">
      <w:start w:val="1"/>
      <w:numFmt w:val="decimal"/>
      <w:lvlText w:val="%1."/>
      <w:lvlJc w:val="left"/>
      <w:pPr>
        <w:tabs>
          <w:tab w:val="left" w:pos="312"/>
        </w:tabs>
      </w:pPr>
    </w:lvl>
  </w:abstractNum>
  <w:abstractNum w:abstractNumId="6">
    <w:nsid w:val="28A8B482"/>
    <w:multiLevelType w:val="singleLevel"/>
    <w:tmpl w:val="28A8B482"/>
    <w:lvl w:ilvl="0" w:tentative="0">
      <w:start w:val="1"/>
      <w:numFmt w:val="chineseCounting"/>
      <w:suff w:val="nothing"/>
      <w:lvlText w:val="（%1）"/>
      <w:lvlJc w:val="left"/>
      <w:rPr>
        <w:rFonts w:hint="eastAsia"/>
      </w:rPr>
    </w:lvl>
  </w:abstractNum>
  <w:abstractNum w:abstractNumId="7">
    <w:nsid w:val="2A563658"/>
    <w:multiLevelType w:val="singleLevel"/>
    <w:tmpl w:val="2A563658"/>
    <w:lvl w:ilvl="0" w:tentative="0">
      <w:start w:val="1"/>
      <w:numFmt w:val="decimal"/>
      <w:lvlText w:val="%1."/>
      <w:lvlJc w:val="left"/>
      <w:pPr>
        <w:tabs>
          <w:tab w:val="left" w:pos="312"/>
        </w:tabs>
      </w:pPr>
    </w:lvl>
  </w:abstractNum>
  <w:abstractNum w:abstractNumId="8">
    <w:nsid w:val="42E50705"/>
    <w:multiLevelType w:val="singleLevel"/>
    <w:tmpl w:val="42E50705"/>
    <w:lvl w:ilvl="0" w:tentative="0">
      <w:start w:val="1"/>
      <w:numFmt w:val="decimal"/>
      <w:lvlText w:val="%1."/>
      <w:lvlJc w:val="left"/>
      <w:pPr>
        <w:tabs>
          <w:tab w:val="left" w:pos="312"/>
        </w:tabs>
      </w:pPr>
    </w:lvl>
  </w:abstractNum>
  <w:num w:numId="1">
    <w:abstractNumId w:val="1"/>
  </w:num>
  <w:num w:numId="2">
    <w:abstractNumId w:val="6"/>
  </w:num>
  <w:num w:numId="3">
    <w:abstractNumId w:val="8"/>
  </w:num>
  <w:num w:numId="4">
    <w:abstractNumId w:val="2"/>
  </w:num>
  <w:num w:numId="5">
    <w:abstractNumId w:val="7"/>
  </w:num>
  <w:num w:numId="6">
    <w:abstractNumId w:val="3"/>
  </w:num>
  <w:num w:numId="7">
    <w:abstractNumId w:val="0"/>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8C11CF"/>
    <w:rsid w:val="033D63F4"/>
    <w:rsid w:val="08470072"/>
    <w:rsid w:val="09962F95"/>
    <w:rsid w:val="0BD464D3"/>
    <w:rsid w:val="0F8C7C3F"/>
    <w:rsid w:val="14AB7BDB"/>
    <w:rsid w:val="19102CFF"/>
    <w:rsid w:val="1B712CCC"/>
    <w:rsid w:val="1E29229C"/>
    <w:rsid w:val="212B5EFB"/>
    <w:rsid w:val="21837F15"/>
    <w:rsid w:val="28904CC6"/>
    <w:rsid w:val="2D1965E8"/>
    <w:rsid w:val="34621C0C"/>
    <w:rsid w:val="387B1F55"/>
    <w:rsid w:val="3C700C3E"/>
    <w:rsid w:val="401C35B7"/>
    <w:rsid w:val="404172A3"/>
    <w:rsid w:val="411A73CB"/>
    <w:rsid w:val="42FE6FA4"/>
    <w:rsid w:val="488A3088"/>
    <w:rsid w:val="4E830CA5"/>
    <w:rsid w:val="4F674123"/>
    <w:rsid w:val="53D578AD"/>
    <w:rsid w:val="54023656"/>
    <w:rsid w:val="5BBD57F6"/>
    <w:rsid w:val="5BC56459"/>
    <w:rsid w:val="5CFA65D6"/>
    <w:rsid w:val="5F893C41"/>
    <w:rsid w:val="61763852"/>
    <w:rsid w:val="61E33ADD"/>
    <w:rsid w:val="62FE04A2"/>
    <w:rsid w:val="648F5830"/>
    <w:rsid w:val="66D63C10"/>
    <w:rsid w:val="6AD33945"/>
    <w:rsid w:val="6B9A3891"/>
    <w:rsid w:val="6DC76061"/>
    <w:rsid w:val="724C2FD8"/>
    <w:rsid w:val="72A746B3"/>
    <w:rsid w:val="7D603DDC"/>
    <w:rsid w:val="7D851A94"/>
    <w:rsid w:val="7DDD36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1133</Words>
  <Characters>1148</Characters>
  <Lines>0</Lines>
  <Paragraphs>0</Paragraphs>
  <TotalTime>30</TotalTime>
  <ScaleCrop>false</ScaleCrop>
  <LinksUpToDate>false</LinksUpToDate>
  <CharactersWithSpaces>1155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2025-02-28T00:38:00Z</dcterms:created>
  <dc:creator>admin</dc:creator>
  <cp:lastModifiedBy>陶子</cp:lastModifiedBy>
  <dcterms:modified xsi:type="dcterms:W3CDTF">2025-04-15T00:37:48Z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eyJoZGlkIjoiYmVmZmU2N2JjYzg1MjcyZWZjMjZlY2QwN2MyNDJmZDMiLCJ1c2VySWQiOiI2NjM1NTUxNzIifQ==</vt:lpwstr>
  </property>
  <property fmtid="{D5CDD505-2E9C-101B-9397-08002B2CF9AE}" pid="4" name="ICV">
    <vt:lpwstr>68766BCCADB446B9AE2EB00A038816A5_12</vt:lpwstr>
  </property>
</Properties>
</file>