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76773">
      <w:pPr>
        <w:keepNext w:val="0"/>
        <w:keepLines w:val="0"/>
        <w:pageBreakBefore w:val="0"/>
        <w:widowControl w:val="0"/>
        <w:kinsoku/>
        <w:wordWrap/>
        <w:overflowPunct w:val="0"/>
        <w:topLinePunct w:val="0"/>
        <w:autoSpaceDE w:val="0"/>
        <w:autoSpaceDN w:val="0"/>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p>
    <w:p w14:paraId="08874F30">
      <w:pPr>
        <w:keepNext w:val="0"/>
        <w:keepLines w:val="0"/>
        <w:pageBreakBefore w:val="0"/>
        <w:widowControl w:val="0"/>
        <w:kinsoku/>
        <w:wordWrap/>
        <w:overflowPunct w:val="0"/>
        <w:topLinePunct w:val="0"/>
        <w:autoSpaceDE w:val="0"/>
        <w:autoSpaceDN w:val="0"/>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烟台市残疾人事业发展“十五五”规划</w:t>
      </w:r>
    </w:p>
    <w:p w14:paraId="6F2AD70C">
      <w:pPr>
        <w:keepNext w:val="0"/>
        <w:keepLines w:val="0"/>
        <w:pageBreakBefore w:val="0"/>
        <w:widowControl w:val="0"/>
        <w:kinsoku/>
        <w:wordWrap/>
        <w:overflowPunct w:val="0"/>
        <w:topLinePunct w:val="0"/>
        <w:autoSpaceDE w:val="0"/>
        <w:autoSpaceDN w:val="0"/>
        <w:bidi w:val="0"/>
        <w:adjustRightInd/>
        <w:snapToGrid/>
        <w:spacing w:line="560" w:lineRule="exact"/>
        <w:jc w:val="center"/>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14:textFill>
            <w14:solidFill>
              <w14:schemeClr w14:val="tx1"/>
            </w14:solidFill>
          </w14:textFill>
        </w:rPr>
        <w:t>（征求意见稿）</w:t>
      </w:r>
    </w:p>
    <w:p w14:paraId="370BFB53">
      <w:pPr>
        <w:keepNext w:val="0"/>
        <w:keepLines w:val="0"/>
        <w:pageBreakBefore w:val="0"/>
        <w:widowControl w:val="0"/>
        <w:kinsoku/>
        <w:wordWrap/>
        <w:overflowPunct w:val="0"/>
        <w:topLinePunct w:val="0"/>
        <w:autoSpaceDE w:val="0"/>
        <w:autoSpaceDN w:val="0"/>
        <w:bidi w:val="0"/>
        <w:adjustRightInd/>
        <w:snapToGrid/>
        <w:spacing w:line="560" w:lineRule="exact"/>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p>
    <w:p w14:paraId="10E1F99A">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一、总体要求</w:t>
      </w:r>
    </w:p>
    <w:p w14:paraId="43F4EE08">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以习近平新时代中国特色社会主义思想为指引，全面贯彻党的二十大和二十届历次全会精神，深入落实习近平总书记关于残疾人事业的重要论述</w:t>
      </w:r>
      <w:r>
        <w:rPr>
          <w:rFonts w:hint="eastAsia" w:ascii="Times New Roman" w:hAnsi="Times New Roman" w:eastAsia="仿宋_GB2312" w:cs="仿宋_GB2312"/>
          <w:b w:val="0"/>
          <w:bCs w:val="0"/>
          <w:snapToGrid w:val="0"/>
          <w:color w:val="000000" w:themeColor="text1"/>
          <w:kern w:val="0"/>
          <w:sz w:val="32"/>
          <w:szCs w:val="32"/>
          <w:highlight w:val="none"/>
          <w:u w:val="none"/>
          <w:lang w:eastAsia="zh-CN"/>
          <w14:textFill>
            <w14:solidFill>
              <w14:schemeClr w14:val="tx1"/>
            </w14:solidFill>
          </w14:textFill>
        </w:rPr>
        <w:t>和重要指示批示精神</w:t>
      </w:r>
      <w:r>
        <w:rPr>
          <w:rFonts w:hint="eastAsia" w:ascii="仿宋_GB2312" w:hAnsi="仿宋_GB2312" w:eastAsia="仿宋_GB2312" w:cs="仿宋_GB2312"/>
          <w:b w:val="0"/>
          <w:bCs w:val="0"/>
          <w:color w:val="000000" w:themeColor="text1"/>
          <w:sz w:val="32"/>
          <w:szCs w:val="32"/>
          <w14:textFill>
            <w14:solidFill>
              <w14:schemeClr w14:val="tx1"/>
            </w14:solidFill>
          </w14:textFill>
        </w:rPr>
        <w:t>，紧扣高质量发展主线，以完善社会保障制度和关爱服务体系为支撑，坚持保障与发展并重、普惠与特惠结合、城</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乡</w:t>
      </w:r>
      <w:r>
        <w:rPr>
          <w:rFonts w:hint="eastAsia" w:ascii="仿宋_GB2312" w:hAnsi="仿宋_GB2312" w:eastAsia="仿宋_GB2312" w:cs="仿宋_GB2312"/>
          <w:b w:val="0"/>
          <w:bCs w:val="0"/>
          <w:color w:val="000000" w:themeColor="text1"/>
          <w:sz w:val="32"/>
          <w:szCs w:val="32"/>
          <w14:textFill>
            <w14:solidFill>
              <w14:schemeClr w14:val="tx1"/>
            </w14:solidFill>
          </w14:textFill>
        </w:rPr>
        <w:t>与</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区</w:t>
      </w:r>
      <w:r>
        <w:rPr>
          <w:rFonts w:hint="eastAsia" w:ascii="仿宋_GB2312" w:hAnsi="仿宋_GB2312" w:eastAsia="仿宋_GB2312" w:cs="仿宋_GB2312"/>
          <w:b w:val="0"/>
          <w:bCs w:val="0"/>
          <w:color w:val="000000" w:themeColor="text1"/>
          <w:sz w:val="32"/>
          <w:szCs w:val="32"/>
          <w14:textFill>
            <w14:solidFill>
              <w14:schemeClr w14:val="tx1"/>
            </w14:solidFill>
          </w14:textFill>
        </w:rPr>
        <w:t>域统筹，强化科技赋能与社会协同，锚定“走在前、挑大梁</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作贡献</w:t>
      </w:r>
      <w:r>
        <w:rPr>
          <w:rFonts w:hint="eastAsia" w:ascii="仿宋_GB2312" w:hAnsi="仿宋_GB2312" w:eastAsia="仿宋_GB2312" w:cs="仿宋_GB2312"/>
          <w:b w:val="0"/>
          <w:bCs w:val="0"/>
          <w:color w:val="000000" w:themeColor="text1"/>
          <w:sz w:val="32"/>
          <w:szCs w:val="32"/>
          <w14:textFill>
            <w14:solidFill>
              <w14:schemeClr w14:val="tx1"/>
            </w14:solidFill>
          </w14:textFill>
        </w:rPr>
        <w:t>”目标</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要求</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立足烟台市残疾人事业发展实际，</w:t>
      </w:r>
      <w:r>
        <w:rPr>
          <w:rFonts w:hint="eastAsia" w:ascii="仿宋_GB2312" w:hAnsi="仿宋_GB2312" w:eastAsia="仿宋_GB2312" w:cs="仿宋_GB2312"/>
          <w:b w:val="0"/>
          <w:bCs w:val="0"/>
          <w:color w:val="000000" w:themeColor="text1"/>
          <w:sz w:val="32"/>
          <w:szCs w:val="32"/>
          <w14:textFill>
            <w14:solidFill>
              <w14:schemeClr w14:val="tx1"/>
            </w14:solidFill>
          </w14:textFill>
        </w:rPr>
        <w:t>切实保障残疾人平等权益，持续增进</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残疾人</w:t>
      </w:r>
      <w:r>
        <w:rPr>
          <w:rFonts w:hint="eastAsia" w:ascii="仿宋_GB2312" w:hAnsi="仿宋_GB2312" w:eastAsia="仿宋_GB2312" w:cs="仿宋_GB2312"/>
          <w:b w:val="0"/>
          <w:bCs w:val="0"/>
          <w:color w:val="000000" w:themeColor="text1"/>
          <w:sz w:val="32"/>
          <w:szCs w:val="32"/>
          <w14:textFill>
            <w14:solidFill>
              <w14:schemeClr w14:val="tx1"/>
            </w14:solidFill>
          </w14:textFill>
        </w:rPr>
        <w:t>民生福祉，让广大残疾人在中国式现代化进程</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和绿色低碳高质量发展示范城市建设</w:t>
      </w:r>
      <w:r>
        <w:rPr>
          <w:rFonts w:hint="eastAsia" w:ascii="仿宋_GB2312" w:hAnsi="仿宋_GB2312" w:eastAsia="仿宋_GB2312" w:cs="仿宋_GB2312"/>
          <w:b w:val="0"/>
          <w:bCs w:val="0"/>
          <w:color w:val="000000" w:themeColor="text1"/>
          <w:sz w:val="32"/>
          <w:szCs w:val="32"/>
          <w14:textFill>
            <w14:solidFill>
              <w14:schemeClr w14:val="tx1"/>
            </w14:solidFill>
          </w14:textFill>
        </w:rPr>
        <w:t>中共享发展成果、共创美好生活。</w:t>
      </w:r>
    </w:p>
    <w:p w14:paraId="7BDBF58A">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到2030年，全市残疾人社会保障制度更加健全，关爱服务体系更加完备，基本公共服务供给更加充分，无障碍环境更加友好包容，事业发展基础更加坚实，残疾人生活品质和发展能力实现新提升。</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 xml:space="preserve"> </w:t>
      </w:r>
    </w:p>
    <w:tbl>
      <w:tblPr>
        <w:tblStyle w:val="8"/>
        <w:tblW w:w="8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3"/>
        <w:gridCol w:w="1150"/>
        <w:gridCol w:w="1307"/>
        <w:gridCol w:w="1037"/>
      </w:tblGrid>
      <w:tr w14:paraId="0BAC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987" w:type="dxa"/>
            <w:gridSpan w:val="4"/>
            <w:noWrap w:val="0"/>
            <w:vAlign w:val="center"/>
          </w:tcPr>
          <w:p w14:paraId="7FA5AFB6">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黑体" w:hAnsi="黑体" w:eastAsia="黑体" w:cs="Times New Roman"/>
                <w:b w:val="0"/>
                <w:bCs w:val="0"/>
                <w:snapToGrid w:val="0"/>
                <w:color w:val="000000" w:themeColor="text1"/>
                <w:kern w:val="0"/>
                <w:sz w:val="24"/>
                <w:szCs w:val="24"/>
                <w:highlight w:val="none"/>
                <w14:textFill>
                  <w14:solidFill>
                    <w14:schemeClr w14:val="tx1"/>
                  </w14:solidFill>
                </w14:textFill>
              </w:rPr>
            </w:pPr>
            <w:r>
              <w:rPr>
                <w:rFonts w:hint="eastAsia" w:ascii="黑体" w:hAnsi="黑体" w:eastAsia="黑体" w:cs="黑体"/>
                <w:b w:val="0"/>
                <w:bCs w:val="0"/>
                <w:snapToGrid w:val="0"/>
                <w:color w:val="000000" w:themeColor="text1"/>
                <w:kern w:val="0"/>
                <w:sz w:val="24"/>
                <w:szCs w:val="24"/>
                <w:highlight w:val="none"/>
                <w14:textFill>
                  <w14:solidFill>
                    <w14:schemeClr w14:val="tx1"/>
                  </w14:solidFill>
                </w14:textFill>
              </w:rPr>
              <w:t>专栏</w:t>
            </w:r>
            <w:r>
              <w:rPr>
                <w:rFonts w:ascii="黑体" w:hAnsi="黑体" w:eastAsia="黑体" w:cs="黑体"/>
                <w:b w:val="0"/>
                <w:bCs w:val="0"/>
                <w:snapToGrid w:val="0"/>
                <w:color w:val="000000" w:themeColor="text1"/>
                <w:kern w:val="0"/>
                <w:sz w:val="24"/>
                <w:szCs w:val="24"/>
                <w:highlight w:val="none"/>
                <w14:textFill>
                  <w14:solidFill>
                    <w14:schemeClr w14:val="tx1"/>
                  </w14:solidFill>
                </w14:textFill>
              </w:rPr>
              <w:t>1</w:t>
            </w:r>
            <w:r>
              <w:rPr>
                <w:rFonts w:hint="eastAsia" w:ascii="黑体" w:hAnsi="黑体" w:eastAsia="黑体" w:cs="黑体"/>
                <w:b w:val="0"/>
                <w:bCs w:val="0"/>
                <w:snapToGrid w:val="0"/>
                <w:color w:val="000000" w:themeColor="text1"/>
                <w:kern w:val="0"/>
                <w:sz w:val="24"/>
                <w:szCs w:val="24"/>
                <w:highlight w:val="none"/>
                <w14:textFill>
                  <w14:solidFill>
                    <w14:schemeClr w14:val="tx1"/>
                  </w14:solidFill>
                </w14:textFill>
              </w:rPr>
              <w:t>：“十五五”残疾人事业发展主要指标</w:t>
            </w:r>
          </w:p>
        </w:tc>
      </w:tr>
      <w:tr w14:paraId="33EA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93" w:type="dxa"/>
            <w:noWrap w:val="0"/>
            <w:vAlign w:val="center"/>
          </w:tcPr>
          <w:p w14:paraId="7D96E3ED">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黑体" w:hAnsi="黑体" w:eastAsia="黑体" w:cs="Times New Roman"/>
                <w:b w:val="0"/>
                <w:bCs w:val="0"/>
                <w:snapToGrid w:val="0"/>
                <w:color w:val="000000" w:themeColor="text1"/>
                <w:kern w:val="0"/>
                <w:sz w:val="24"/>
                <w:szCs w:val="24"/>
                <w:highlight w:val="none"/>
                <w14:textFill>
                  <w14:solidFill>
                    <w14:schemeClr w14:val="tx1"/>
                  </w14:solidFill>
                </w14:textFill>
              </w:rPr>
            </w:pPr>
            <w:r>
              <w:rPr>
                <w:rFonts w:hint="eastAsia" w:ascii="黑体" w:hAnsi="黑体" w:eastAsia="黑体" w:cs="黑体"/>
                <w:b w:val="0"/>
                <w:bCs w:val="0"/>
                <w:snapToGrid w:val="0"/>
                <w:color w:val="000000" w:themeColor="text1"/>
                <w:kern w:val="0"/>
                <w:sz w:val="24"/>
                <w:szCs w:val="24"/>
                <w:highlight w:val="none"/>
                <w14:textFill>
                  <w14:solidFill>
                    <w14:schemeClr w14:val="tx1"/>
                  </w14:solidFill>
                </w14:textFill>
              </w:rPr>
              <w:t>指</w:t>
            </w:r>
            <w:r>
              <w:rPr>
                <w:rFonts w:ascii="黑体" w:hAnsi="黑体" w:eastAsia="黑体" w:cs="黑体"/>
                <w:b w:val="0"/>
                <w:bCs w:val="0"/>
                <w:snapToGrid w:val="0"/>
                <w:color w:val="000000" w:themeColor="text1"/>
                <w:kern w:val="0"/>
                <w:sz w:val="24"/>
                <w:szCs w:val="24"/>
                <w:highlight w:val="none"/>
                <w14:textFill>
                  <w14:solidFill>
                    <w14:schemeClr w14:val="tx1"/>
                  </w14:solidFill>
                </w14:textFill>
              </w:rPr>
              <w:t xml:space="preserve">  </w:t>
            </w:r>
            <w:r>
              <w:rPr>
                <w:rFonts w:hint="eastAsia" w:ascii="黑体" w:hAnsi="黑体" w:eastAsia="黑体" w:cs="黑体"/>
                <w:b w:val="0"/>
                <w:bCs w:val="0"/>
                <w:snapToGrid w:val="0"/>
                <w:color w:val="000000" w:themeColor="text1"/>
                <w:kern w:val="0"/>
                <w:sz w:val="24"/>
                <w:szCs w:val="24"/>
                <w:highlight w:val="none"/>
                <w14:textFill>
                  <w14:solidFill>
                    <w14:schemeClr w14:val="tx1"/>
                  </w14:solidFill>
                </w14:textFill>
              </w:rPr>
              <w:t>标</w:t>
            </w:r>
          </w:p>
        </w:tc>
        <w:tc>
          <w:tcPr>
            <w:tcW w:w="1150" w:type="dxa"/>
            <w:noWrap w:val="0"/>
            <w:vAlign w:val="center"/>
          </w:tcPr>
          <w:p w14:paraId="5D34E62A">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黑体" w:hAnsi="黑体" w:eastAsia="黑体" w:cs="Times New Roman"/>
                <w:b w:val="0"/>
                <w:bCs w:val="0"/>
                <w:snapToGrid w:val="0"/>
                <w:color w:val="000000" w:themeColor="text1"/>
                <w:kern w:val="0"/>
                <w:sz w:val="24"/>
                <w:szCs w:val="24"/>
                <w:highlight w:val="none"/>
                <w14:textFill>
                  <w14:solidFill>
                    <w14:schemeClr w14:val="tx1"/>
                  </w14:solidFill>
                </w14:textFill>
              </w:rPr>
            </w:pPr>
            <w:r>
              <w:rPr>
                <w:rFonts w:ascii="黑体" w:hAnsi="黑体" w:eastAsia="黑体" w:cs="黑体"/>
                <w:b w:val="0"/>
                <w:bCs w:val="0"/>
                <w:snapToGrid w:val="0"/>
                <w:color w:val="000000" w:themeColor="text1"/>
                <w:kern w:val="0"/>
                <w:sz w:val="24"/>
                <w:szCs w:val="24"/>
                <w:highlight w:val="none"/>
                <w14:textFill>
                  <w14:solidFill>
                    <w14:schemeClr w14:val="tx1"/>
                  </w14:solidFill>
                </w14:textFill>
              </w:rPr>
              <w:t>202</w:t>
            </w:r>
            <w:r>
              <w:rPr>
                <w:rFonts w:hint="eastAsia" w:ascii="黑体" w:hAnsi="黑体" w:eastAsia="黑体" w:cs="黑体"/>
                <w:b w:val="0"/>
                <w:bCs w:val="0"/>
                <w:snapToGrid w:val="0"/>
                <w:color w:val="000000" w:themeColor="text1"/>
                <w:kern w:val="0"/>
                <w:sz w:val="24"/>
                <w:szCs w:val="24"/>
                <w:highlight w:val="none"/>
                <w14:textFill>
                  <w14:solidFill>
                    <w14:schemeClr w14:val="tx1"/>
                  </w14:solidFill>
                </w14:textFill>
              </w:rPr>
              <w:t>5年</w:t>
            </w:r>
          </w:p>
        </w:tc>
        <w:tc>
          <w:tcPr>
            <w:tcW w:w="1307" w:type="dxa"/>
            <w:noWrap w:val="0"/>
            <w:vAlign w:val="center"/>
          </w:tcPr>
          <w:p w14:paraId="12A9AB2D">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黑体" w:hAnsi="黑体" w:eastAsia="黑体" w:cs="Times New Roman"/>
                <w:b w:val="0"/>
                <w:bCs w:val="0"/>
                <w:snapToGrid w:val="0"/>
                <w:color w:val="000000" w:themeColor="text1"/>
                <w:kern w:val="0"/>
                <w:sz w:val="24"/>
                <w:szCs w:val="24"/>
                <w:highlight w:val="none"/>
                <w14:textFill>
                  <w14:solidFill>
                    <w14:schemeClr w14:val="tx1"/>
                  </w14:solidFill>
                </w14:textFill>
              </w:rPr>
            </w:pPr>
            <w:r>
              <w:rPr>
                <w:rFonts w:ascii="黑体" w:hAnsi="黑体" w:eastAsia="黑体" w:cs="黑体"/>
                <w:b w:val="0"/>
                <w:bCs w:val="0"/>
                <w:snapToGrid w:val="0"/>
                <w:color w:val="000000" w:themeColor="text1"/>
                <w:kern w:val="0"/>
                <w:sz w:val="24"/>
                <w:szCs w:val="24"/>
                <w:highlight w:val="none"/>
                <w14:textFill>
                  <w14:solidFill>
                    <w14:schemeClr w14:val="tx1"/>
                  </w14:solidFill>
                </w14:textFill>
              </w:rPr>
              <w:t>20</w:t>
            </w:r>
            <w:r>
              <w:rPr>
                <w:rFonts w:hint="eastAsia" w:ascii="黑体" w:hAnsi="黑体" w:eastAsia="黑体" w:cs="黑体"/>
                <w:b w:val="0"/>
                <w:bCs w:val="0"/>
                <w:snapToGrid w:val="0"/>
                <w:color w:val="000000" w:themeColor="text1"/>
                <w:kern w:val="0"/>
                <w:sz w:val="24"/>
                <w:szCs w:val="24"/>
                <w:highlight w:val="none"/>
                <w14:textFill>
                  <w14:solidFill>
                    <w14:schemeClr w14:val="tx1"/>
                  </w14:solidFill>
                </w14:textFill>
              </w:rPr>
              <w:t>30年</w:t>
            </w:r>
          </w:p>
        </w:tc>
        <w:tc>
          <w:tcPr>
            <w:tcW w:w="1037" w:type="dxa"/>
            <w:noWrap w:val="0"/>
            <w:vAlign w:val="center"/>
          </w:tcPr>
          <w:p w14:paraId="69CD569F">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黑体" w:hAnsi="黑体" w:eastAsia="黑体" w:cs="Times New Roman"/>
                <w:b w:val="0"/>
                <w:bCs w:val="0"/>
                <w:snapToGrid w:val="0"/>
                <w:color w:val="000000" w:themeColor="text1"/>
                <w:kern w:val="0"/>
                <w:sz w:val="24"/>
                <w:szCs w:val="24"/>
                <w:highlight w:val="none"/>
                <w14:textFill>
                  <w14:solidFill>
                    <w14:schemeClr w14:val="tx1"/>
                  </w14:solidFill>
                </w14:textFill>
              </w:rPr>
            </w:pPr>
            <w:r>
              <w:rPr>
                <w:rFonts w:hint="eastAsia" w:ascii="黑体" w:hAnsi="黑体" w:eastAsia="黑体" w:cs="黑体"/>
                <w:b w:val="0"/>
                <w:bCs w:val="0"/>
                <w:snapToGrid w:val="0"/>
                <w:color w:val="000000" w:themeColor="text1"/>
                <w:kern w:val="0"/>
                <w:sz w:val="24"/>
                <w:szCs w:val="24"/>
                <w:highlight w:val="none"/>
                <w14:textFill>
                  <w14:solidFill>
                    <w14:schemeClr w14:val="tx1"/>
                  </w14:solidFill>
                </w14:textFill>
              </w:rPr>
              <w:t>属性</w:t>
            </w:r>
          </w:p>
        </w:tc>
      </w:tr>
      <w:tr w14:paraId="53CF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93" w:type="dxa"/>
            <w:noWrap w:val="0"/>
            <w:vAlign w:val="center"/>
          </w:tcPr>
          <w:p w14:paraId="2440F1D1">
            <w:pPr>
              <w:keepNext w:val="0"/>
              <w:keepLines w:val="0"/>
              <w:pageBreakBefore w:val="0"/>
              <w:widowControl w:val="0"/>
              <w:kinsoku/>
              <w:wordWrap/>
              <w:overflowPunct w:val="0"/>
              <w:topLinePunct w:val="0"/>
              <w:autoSpaceDE w:val="0"/>
              <w:autoSpaceDN w:val="0"/>
              <w:bidi w:val="0"/>
              <w:adjustRightInd/>
              <w:snapToGrid w:val="0"/>
              <w:spacing w:line="560" w:lineRule="exact"/>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1.</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符合条件的残疾人纳入最低生活保障比例（</w:t>
            </w: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p>
        </w:tc>
        <w:tc>
          <w:tcPr>
            <w:tcW w:w="1150" w:type="dxa"/>
            <w:noWrap w:val="0"/>
            <w:vAlign w:val="center"/>
          </w:tcPr>
          <w:p w14:paraId="1309191B">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100</w:t>
            </w:r>
          </w:p>
        </w:tc>
        <w:tc>
          <w:tcPr>
            <w:tcW w:w="1307" w:type="dxa"/>
            <w:noWrap w:val="0"/>
            <w:vAlign w:val="center"/>
          </w:tcPr>
          <w:p w14:paraId="0631C274">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100</w:t>
            </w:r>
          </w:p>
        </w:tc>
        <w:tc>
          <w:tcPr>
            <w:tcW w:w="1037" w:type="dxa"/>
            <w:noWrap w:val="0"/>
            <w:vAlign w:val="center"/>
          </w:tcPr>
          <w:p w14:paraId="2BBFD744">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Times New Roman" w:eastAsia="仿宋_GB2312" w:cs="Times New Roman"/>
                <w:b w:val="0"/>
                <w:bCs w:val="0"/>
                <w:snapToGrid w:val="0"/>
                <w:color w:val="000000" w:themeColor="text1"/>
                <w:kern w:val="0"/>
                <w:sz w:val="24"/>
                <w:szCs w:val="24"/>
                <w:highlight w:val="none"/>
                <w:lang w:eastAsia="zh-CN"/>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t>预期性</w:t>
            </w:r>
          </w:p>
        </w:tc>
      </w:tr>
      <w:tr w14:paraId="78FD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93" w:type="dxa"/>
            <w:noWrap w:val="0"/>
            <w:vAlign w:val="center"/>
          </w:tcPr>
          <w:p w14:paraId="47E8CF2F">
            <w:pPr>
              <w:keepNext w:val="0"/>
              <w:keepLines w:val="0"/>
              <w:pageBreakBefore w:val="0"/>
              <w:widowControl w:val="0"/>
              <w:kinsoku/>
              <w:wordWrap/>
              <w:overflowPunct w:val="0"/>
              <w:topLinePunct w:val="0"/>
              <w:autoSpaceDE w:val="0"/>
              <w:autoSpaceDN w:val="0"/>
              <w:bidi w:val="0"/>
              <w:adjustRightInd/>
              <w:snapToGrid w:val="0"/>
              <w:spacing w:line="560" w:lineRule="exact"/>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2</w:t>
            </w:r>
            <w:r>
              <w:rPr>
                <w:rFonts w:hint="eastAsia" w:ascii="仿宋_GB2312" w:hAnsi="Times New Roman" w:eastAsia="仿宋_GB2312" w:cs="仿宋_GB2312"/>
                <w:b w:val="0"/>
                <w:bCs w:val="0"/>
                <w:snapToGrid w:val="0"/>
                <w:color w:val="000000" w:themeColor="text1"/>
                <w:kern w:val="0"/>
                <w:sz w:val="24"/>
                <w:szCs w:val="24"/>
                <w:highlight w:val="none"/>
                <w:lang w:val="en-US" w:eastAsia="zh-CN"/>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困难残疾人生活补贴和重度残疾人护理补贴覆盖率（</w:t>
            </w: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p>
        </w:tc>
        <w:tc>
          <w:tcPr>
            <w:tcW w:w="1150" w:type="dxa"/>
            <w:noWrap w:val="0"/>
            <w:vAlign w:val="center"/>
          </w:tcPr>
          <w:p w14:paraId="6CC3B929">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100</w:t>
            </w:r>
          </w:p>
        </w:tc>
        <w:tc>
          <w:tcPr>
            <w:tcW w:w="1307" w:type="dxa"/>
            <w:noWrap w:val="0"/>
            <w:vAlign w:val="center"/>
          </w:tcPr>
          <w:p w14:paraId="1DFCDAF8">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t>应保</w:t>
            </w:r>
          </w:p>
          <w:p w14:paraId="60502340">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lang w:eastAsia="zh-CN"/>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t>尽保</w:t>
            </w:r>
          </w:p>
        </w:tc>
        <w:tc>
          <w:tcPr>
            <w:tcW w:w="1037" w:type="dxa"/>
            <w:noWrap w:val="0"/>
            <w:vAlign w:val="center"/>
          </w:tcPr>
          <w:p w14:paraId="7A30E05E">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约束性</w:t>
            </w:r>
          </w:p>
        </w:tc>
      </w:tr>
      <w:tr w14:paraId="3AC1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93" w:type="dxa"/>
            <w:noWrap w:val="0"/>
            <w:vAlign w:val="center"/>
          </w:tcPr>
          <w:p w14:paraId="7F4D953C">
            <w:pPr>
              <w:keepNext w:val="0"/>
              <w:keepLines w:val="0"/>
              <w:pageBreakBefore w:val="0"/>
              <w:widowControl w:val="0"/>
              <w:kinsoku/>
              <w:wordWrap/>
              <w:overflowPunct w:val="0"/>
              <w:topLinePunct w:val="0"/>
              <w:autoSpaceDE w:val="0"/>
              <w:autoSpaceDN w:val="0"/>
              <w:bidi w:val="0"/>
              <w:adjustRightInd/>
              <w:snapToGrid w:val="0"/>
              <w:spacing w:line="560" w:lineRule="exact"/>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default" w:ascii="仿宋_GB2312" w:hAnsi="Times New Roman" w:eastAsia="仿宋_GB2312" w:cs="仿宋_GB2312"/>
                <w:b w:val="0"/>
                <w:bCs w:val="0"/>
                <w:snapToGrid w:val="0"/>
                <w:color w:val="000000" w:themeColor="text1"/>
                <w:kern w:val="0"/>
                <w:sz w:val="24"/>
                <w:szCs w:val="24"/>
                <w:highlight w:val="none"/>
                <w:lang w:eastAsia="zh-CN"/>
                <w14:textFill>
                  <w14:solidFill>
                    <w14:schemeClr w14:val="tx1"/>
                  </w14:solidFill>
                </w14:textFill>
              </w:rPr>
              <w:t>3</w:t>
            </w: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残疾人基本医疗保险参保率（</w:t>
            </w: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p>
        </w:tc>
        <w:tc>
          <w:tcPr>
            <w:tcW w:w="1150" w:type="dxa"/>
            <w:noWrap w:val="0"/>
            <w:vAlign w:val="center"/>
          </w:tcPr>
          <w:p w14:paraId="2C4183C2">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lang w:eastAsia="zh-CN"/>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&gt;9</w:t>
            </w:r>
            <w:r>
              <w:rPr>
                <w:rFonts w:hint="eastAsia"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t>5</w:t>
            </w:r>
          </w:p>
        </w:tc>
        <w:tc>
          <w:tcPr>
            <w:tcW w:w="1307" w:type="dxa"/>
            <w:noWrap w:val="0"/>
            <w:vAlign w:val="center"/>
          </w:tcPr>
          <w:p w14:paraId="04F29E22">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default"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t>保持稳定</w:t>
            </w:r>
          </w:p>
        </w:tc>
        <w:tc>
          <w:tcPr>
            <w:tcW w:w="1037" w:type="dxa"/>
            <w:noWrap w:val="0"/>
            <w:vAlign w:val="center"/>
          </w:tcPr>
          <w:p w14:paraId="0A79C335">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预期性</w:t>
            </w:r>
          </w:p>
        </w:tc>
      </w:tr>
      <w:tr w14:paraId="7AE3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93" w:type="dxa"/>
            <w:noWrap w:val="0"/>
            <w:vAlign w:val="center"/>
          </w:tcPr>
          <w:p w14:paraId="43AD37DB">
            <w:pPr>
              <w:keepNext w:val="0"/>
              <w:keepLines w:val="0"/>
              <w:pageBreakBefore w:val="0"/>
              <w:widowControl w:val="0"/>
              <w:kinsoku/>
              <w:wordWrap/>
              <w:overflowPunct w:val="0"/>
              <w:topLinePunct w:val="0"/>
              <w:autoSpaceDE w:val="0"/>
              <w:autoSpaceDN w:val="0"/>
              <w:bidi w:val="0"/>
              <w:adjustRightInd/>
              <w:snapToGrid w:val="0"/>
              <w:spacing w:line="560" w:lineRule="exact"/>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default" w:ascii="仿宋_GB2312" w:hAnsi="Times New Roman" w:eastAsia="仿宋_GB2312" w:cs="仿宋_GB2312"/>
                <w:b w:val="0"/>
                <w:bCs w:val="0"/>
                <w:snapToGrid w:val="0"/>
                <w:color w:val="000000" w:themeColor="text1"/>
                <w:kern w:val="0"/>
                <w:sz w:val="24"/>
                <w:szCs w:val="24"/>
                <w:highlight w:val="none"/>
                <w:lang w:eastAsia="zh-CN"/>
                <w14:textFill>
                  <w14:solidFill>
                    <w14:schemeClr w14:val="tx1"/>
                  </w14:solidFill>
                </w14:textFill>
              </w:rPr>
              <w:t>4</w:t>
            </w: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残疾人基本康复服务覆盖率（</w:t>
            </w: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p>
        </w:tc>
        <w:tc>
          <w:tcPr>
            <w:tcW w:w="1150" w:type="dxa"/>
            <w:noWrap w:val="0"/>
            <w:vAlign w:val="center"/>
          </w:tcPr>
          <w:p w14:paraId="48375800">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＞95</w:t>
            </w:r>
          </w:p>
        </w:tc>
        <w:tc>
          <w:tcPr>
            <w:tcW w:w="1307" w:type="dxa"/>
            <w:noWrap w:val="0"/>
            <w:vAlign w:val="center"/>
          </w:tcPr>
          <w:p w14:paraId="1D67D09D">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＞95</w:t>
            </w:r>
          </w:p>
        </w:tc>
        <w:tc>
          <w:tcPr>
            <w:tcW w:w="1037" w:type="dxa"/>
            <w:noWrap w:val="0"/>
            <w:vAlign w:val="center"/>
          </w:tcPr>
          <w:p w14:paraId="56F21B8F">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预期性</w:t>
            </w:r>
          </w:p>
        </w:tc>
      </w:tr>
      <w:tr w14:paraId="0ED6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93" w:type="dxa"/>
            <w:noWrap w:val="0"/>
            <w:vAlign w:val="center"/>
          </w:tcPr>
          <w:p w14:paraId="397B2175">
            <w:pPr>
              <w:keepNext w:val="0"/>
              <w:keepLines w:val="0"/>
              <w:pageBreakBefore w:val="0"/>
              <w:widowControl w:val="0"/>
              <w:kinsoku/>
              <w:wordWrap/>
              <w:overflowPunct w:val="0"/>
              <w:topLinePunct w:val="0"/>
              <w:autoSpaceDE w:val="0"/>
              <w:autoSpaceDN w:val="0"/>
              <w:bidi w:val="0"/>
              <w:adjustRightInd/>
              <w:snapToGrid w:val="0"/>
              <w:spacing w:line="560" w:lineRule="exact"/>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default" w:ascii="仿宋_GB2312" w:hAnsi="Times New Roman" w:eastAsia="仿宋_GB2312" w:cs="仿宋_GB2312"/>
                <w:b w:val="0"/>
                <w:bCs w:val="0"/>
                <w:snapToGrid w:val="0"/>
                <w:color w:val="000000" w:themeColor="text1"/>
                <w:kern w:val="0"/>
                <w:sz w:val="24"/>
                <w:szCs w:val="24"/>
                <w:highlight w:val="none"/>
                <w:lang w:eastAsia="zh-CN"/>
                <w14:textFill>
                  <w14:solidFill>
                    <w14:schemeClr w14:val="tx1"/>
                  </w14:solidFill>
                </w14:textFill>
              </w:rPr>
              <w:t>5</w:t>
            </w: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残疾人基本型辅助器具适配率（</w:t>
            </w: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p>
        </w:tc>
        <w:tc>
          <w:tcPr>
            <w:tcW w:w="1150" w:type="dxa"/>
            <w:noWrap w:val="0"/>
            <w:vAlign w:val="center"/>
          </w:tcPr>
          <w:p w14:paraId="4295884E">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＞95</w:t>
            </w:r>
          </w:p>
        </w:tc>
        <w:tc>
          <w:tcPr>
            <w:tcW w:w="1307" w:type="dxa"/>
            <w:noWrap w:val="0"/>
            <w:vAlign w:val="center"/>
          </w:tcPr>
          <w:p w14:paraId="643ACEC2">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＞95</w:t>
            </w:r>
          </w:p>
        </w:tc>
        <w:tc>
          <w:tcPr>
            <w:tcW w:w="1037" w:type="dxa"/>
            <w:noWrap w:val="0"/>
            <w:vAlign w:val="center"/>
          </w:tcPr>
          <w:p w14:paraId="1E63449D">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预期性</w:t>
            </w:r>
          </w:p>
        </w:tc>
      </w:tr>
      <w:tr w14:paraId="064C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93" w:type="dxa"/>
            <w:noWrap w:val="0"/>
            <w:vAlign w:val="center"/>
          </w:tcPr>
          <w:p w14:paraId="783F5977">
            <w:pPr>
              <w:keepNext w:val="0"/>
              <w:keepLines w:val="0"/>
              <w:pageBreakBefore w:val="0"/>
              <w:widowControl w:val="0"/>
              <w:kinsoku/>
              <w:wordWrap/>
              <w:overflowPunct w:val="0"/>
              <w:topLinePunct w:val="0"/>
              <w:autoSpaceDE w:val="0"/>
              <w:autoSpaceDN w:val="0"/>
              <w:bidi w:val="0"/>
              <w:adjustRightInd/>
              <w:snapToGrid w:val="0"/>
              <w:spacing w:line="560" w:lineRule="exact"/>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default" w:ascii="仿宋_GB2312" w:hAnsi="Times New Roman" w:eastAsia="仿宋_GB2312" w:cs="仿宋_GB2312"/>
                <w:b w:val="0"/>
                <w:bCs w:val="0"/>
                <w:snapToGrid w:val="0"/>
                <w:color w:val="000000" w:themeColor="text1"/>
                <w:kern w:val="0"/>
                <w:sz w:val="24"/>
                <w:szCs w:val="24"/>
                <w:highlight w:val="none"/>
                <w:lang w:eastAsia="zh-CN"/>
                <w14:textFill>
                  <w14:solidFill>
                    <w14:schemeClr w14:val="tx1"/>
                  </w14:solidFill>
                </w14:textFill>
              </w:rPr>
              <w:t>6</w:t>
            </w: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残疾儿童少年义务教育入学率（</w:t>
            </w:r>
            <w:r>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p>
        </w:tc>
        <w:tc>
          <w:tcPr>
            <w:tcW w:w="1150" w:type="dxa"/>
            <w:noWrap w:val="0"/>
            <w:vAlign w:val="center"/>
          </w:tcPr>
          <w:p w14:paraId="1D1C5605">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＞99</w:t>
            </w:r>
          </w:p>
        </w:tc>
        <w:tc>
          <w:tcPr>
            <w:tcW w:w="1307" w:type="dxa"/>
            <w:noWrap w:val="0"/>
            <w:vAlign w:val="center"/>
          </w:tcPr>
          <w:p w14:paraId="70FD3B91">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＞99</w:t>
            </w:r>
          </w:p>
        </w:tc>
        <w:tc>
          <w:tcPr>
            <w:tcW w:w="1037" w:type="dxa"/>
            <w:noWrap w:val="0"/>
            <w:vAlign w:val="center"/>
          </w:tcPr>
          <w:p w14:paraId="1840E70F">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预期性</w:t>
            </w:r>
          </w:p>
        </w:tc>
      </w:tr>
      <w:tr w14:paraId="66A3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93" w:type="dxa"/>
            <w:noWrap w:val="0"/>
            <w:vAlign w:val="center"/>
          </w:tcPr>
          <w:p w14:paraId="13502547">
            <w:pPr>
              <w:keepNext w:val="0"/>
              <w:keepLines w:val="0"/>
              <w:pageBreakBefore w:val="0"/>
              <w:widowControl w:val="0"/>
              <w:kinsoku/>
              <w:wordWrap/>
              <w:overflowPunct w:val="0"/>
              <w:topLinePunct w:val="0"/>
              <w:autoSpaceDE w:val="0"/>
              <w:autoSpaceDN w:val="0"/>
              <w:bidi w:val="0"/>
              <w:adjustRightInd/>
              <w:snapToGrid w:val="0"/>
              <w:spacing w:line="560" w:lineRule="exact"/>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default" w:ascii="仿宋_GB2312" w:hAnsi="Times New Roman" w:eastAsia="仿宋_GB2312" w:cs="仿宋_GB2312"/>
                <w:b w:val="0"/>
                <w:bCs w:val="0"/>
                <w:snapToGrid w:val="0"/>
                <w:color w:val="000000" w:themeColor="text1"/>
                <w:kern w:val="0"/>
                <w:sz w:val="24"/>
                <w:szCs w:val="24"/>
                <w:highlight w:val="none"/>
                <w:lang w:eastAsia="zh-CN"/>
                <w14:textFill>
                  <w14:solidFill>
                    <w14:schemeClr w14:val="tx1"/>
                  </w14:solidFill>
                </w14:textFill>
              </w:rPr>
              <w:t>7</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.城乡残疾人新增就业人数（人）</w:t>
            </w:r>
          </w:p>
        </w:tc>
        <w:tc>
          <w:tcPr>
            <w:tcW w:w="1150" w:type="dxa"/>
            <w:noWrap w:val="0"/>
            <w:vAlign w:val="center"/>
          </w:tcPr>
          <w:p w14:paraId="395EC4B4">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default"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t>1500</w:t>
            </w:r>
          </w:p>
        </w:tc>
        <w:tc>
          <w:tcPr>
            <w:tcW w:w="1307" w:type="dxa"/>
            <w:noWrap w:val="0"/>
            <w:vAlign w:val="center"/>
          </w:tcPr>
          <w:p w14:paraId="5FFA5999">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default" w:ascii="仿宋_GB2312" w:hAnsi="仿宋_GB2312" w:eastAsia="宋体" w:cs="仿宋_GB2312"/>
                <w:b w:val="0"/>
                <w:bCs w:val="0"/>
                <w:snapToGrid w:val="0"/>
                <w:color w:val="000000" w:themeColor="text1"/>
                <w:kern w:val="0"/>
                <w:sz w:val="24"/>
                <w:szCs w:val="24"/>
                <w:highlight w:val="none"/>
                <w:lang w:val="en-US" w:eastAsia="zh-CN"/>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t>7000</w:t>
            </w:r>
            <w:r>
              <w:rPr>
                <w:rFonts w:hint="eastAsia" w:ascii="仿宋_GB2312" w:hAnsi="Times New Roman" w:eastAsia="仿宋_GB2312" w:cs="仿宋_GB2312"/>
                <w:b w:val="0"/>
                <w:bCs w:val="0"/>
                <w:snapToGrid w:val="0"/>
                <w:color w:val="000000" w:themeColor="text1"/>
                <w:kern w:val="0"/>
                <w:sz w:val="24"/>
                <w:szCs w:val="24"/>
                <w:highlight w:val="none"/>
                <w:lang w:val="en-US" w:eastAsia="zh-CN"/>
                <w14:textFill>
                  <w14:solidFill>
                    <w14:schemeClr w14:val="tx1"/>
                  </w14:solidFill>
                </w14:textFill>
              </w:rPr>
              <w:t>〕</w:t>
            </w:r>
          </w:p>
        </w:tc>
        <w:tc>
          <w:tcPr>
            <w:tcW w:w="1037" w:type="dxa"/>
            <w:noWrap w:val="0"/>
            <w:vAlign w:val="center"/>
          </w:tcPr>
          <w:p w14:paraId="17832577">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预期性</w:t>
            </w:r>
          </w:p>
        </w:tc>
      </w:tr>
      <w:tr w14:paraId="1A6F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93" w:type="dxa"/>
            <w:noWrap w:val="0"/>
            <w:vAlign w:val="center"/>
          </w:tcPr>
          <w:p w14:paraId="298D1D43">
            <w:pPr>
              <w:keepNext w:val="0"/>
              <w:keepLines w:val="0"/>
              <w:pageBreakBefore w:val="0"/>
              <w:widowControl w:val="0"/>
              <w:kinsoku/>
              <w:wordWrap/>
              <w:overflowPunct w:val="0"/>
              <w:topLinePunct w:val="0"/>
              <w:autoSpaceDE w:val="0"/>
              <w:autoSpaceDN w:val="0"/>
              <w:bidi w:val="0"/>
              <w:adjustRightInd/>
              <w:snapToGrid w:val="0"/>
              <w:spacing w:line="560" w:lineRule="exact"/>
              <w:textAlignment w:val="auto"/>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pPr>
            <w:r>
              <w:rPr>
                <w:rFonts w:hint="default" w:ascii="仿宋_GB2312" w:hAnsi="Times New Roman" w:eastAsia="仿宋_GB2312" w:cs="仿宋_GB2312"/>
                <w:b w:val="0"/>
                <w:bCs w:val="0"/>
                <w:strike w:val="0"/>
                <w:snapToGrid w:val="0"/>
                <w:color w:val="000000" w:themeColor="text1"/>
                <w:kern w:val="0"/>
                <w:sz w:val="24"/>
                <w:szCs w:val="24"/>
                <w:highlight w:val="none"/>
                <w:u w:val="none"/>
                <w:lang w:eastAsia="zh-CN"/>
                <w14:textFill>
                  <w14:solidFill>
                    <w14:schemeClr w14:val="tx1"/>
                  </w14:solidFill>
                </w14:textFill>
              </w:rPr>
              <w:t>8</w:t>
            </w:r>
            <w:r>
              <w:rPr>
                <w:rFonts w:ascii="仿宋_GB2312" w:hAnsi="Times New Roman" w:eastAsia="仿宋_GB2312" w:cs="仿宋_GB2312"/>
                <w:b w:val="0"/>
                <w:bCs w:val="0"/>
                <w:strike w:val="0"/>
                <w:snapToGrid w:val="0"/>
                <w:color w:val="000000" w:themeColor="text1"/>
                <w:kern w:val="0"/>
                <w:sz w:val="24"/>
                <w:szCs w:val="24"/>
                <w:highlight w:val="none"/>
                <w:u w:val="none"/>
                <w14:textFill>
                  <w14:solidFill>
                    <w14:schemeClr w14:val="tx1"/>
                  </w14:solidFill>
                </w14:textFill>
              </w:rPr>
              <w:t>.</w:t>
            </w:r>
            <w:r>
              <w:rPr>
                <w:rFonts w:hint="eastAsia" w:ascii="仿宋_GB2312" w:hAnsi="Times New Roman" w:eastAsia="仿宋_GB2312" w:cs="仿宋_GB2312"/>
                <w:b w:val="0"/>
                <w:bCs w:val="0"/>
                <w:strike w:val="0"/>
                <w:snapToGrid w:val="0"/>
                <w:color w:val="000000" w:themeColor="text1"/>
                <w:kern w:val="0"/>
                <w:sz w:val="24"/>
                <w:szCs w:val="24"/>
                <w:highlight w:val="none"/>
                <w:u w:val="none"/>
                <w14:textFill>
                  <w14:solidFill>
                    <w14:schemeClr w14:val="tx1"/>
                  </w14:solidFill>
                </w14:textFill>
              </w:rPr>
              <w:t>城乡残疾人职业技能培训数（人次）</w:t>
            </w:r>
          </w:p>
        </w:tc>
        <w:tc>
          <w:tcPr>
            <w:tcW w:w="1150" w:type="dxa"/>
            <w:noWrap w:val="0"/>
            <w:vAlign w:val="center"/>
          </w:tcPr>
          <w:p w14:paraId="7D28B517">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default"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&gt;</w:t>
            </w:r>
            <w:r>
              <w:rPr>
                <w:rFonts w:hint="eastAsia"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t>900</w:t>
            </w:r>
          </w:p>
        </w:tc>
        <w:tc>
          <w:tcPr>
            <w:tcW w:w="1307" w:type="dxa"/>
            <w:noWrap w:val="0"/>
            <w:vAlign w:val="center"/>
          </w:tcPr>
          <w:p w14:paraId="4AA665F5">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default"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&gt;</w:t>
            </w:r>
            <w:r>
              <w:rPr>
                <w:rFonts w:hint="eastAsia"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t>4500</w:t>
            </w:r>
            <w:r>
              <w:rPr>
                <w:rFonts w:hint="eastAsia" w:ascii="仿宋_GB2312" w:hAnsi="Times New Roman" w:eastAsia="仿宋_GB2312" w:cs="仿宋_GB2312"/>
                <w:b w:val="0"/>
                <w:bCs w:val="0"/>
                <w:snapToGrid w:val="0"/>
                <w:color w:val="000000" w:themeColor="text1"/>
                <w:kern w:val="0"/>
                <w:sz w:val="24"/>
                <w:szCs w:val="24"/>
                <w:highlight w:val="none"/>
                <w:lang w:val="en-US" w:eastAsia="zh-CN"/>
                <w14:textFill>
                  <w14:solidFill>
                    <w14:schemeClr w14:val="tx1"/>
                  </w14:solidFill>
                </w14:textFill>
              </w:rPr>
              <w:t>〕</w:t>
            </w:r>
          </w:p>
        </w:tc>
        <w:tc>
          <w:tcPr>
            <w:tcW w:w="1037" w:type="dxa"/>
            <w:noWrap w:val="0"/>
            <w:vAlign w:val="center"/>
          </w:tcPr>
          <w:p w14:paraId="104E0FD8">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预期性</w:t>
            </w:r>
          </w:p>
        </w:tc>
      </w:tr>
      <w:tr w14:paraId="6FE3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93" w:type="dxa"/>
            <w:noWrap w:val="0"/>
            <w:vAlign w:val="center"/>
          </w:tcPr>
          <w:p w14:paraId="6284C9BE">
            <w:pPr>
              <w:keepNext w:val="0"/>
              <w:keepLines w:val="0"/>
              <w:pageBreakBefore w:val="0"/>
              <w:widowControl w:val="0"/>
              <w:kinsoku/>
              <w:wordWrap/>
              <w:overflowPunct w:val="0"/>
              <w:topLinePunct w:val="0"/>
              <w:autoSpaceDE w:val="0"/>
              <w:autoSpaceDN w:val="0"/>
              <w:bidi w:val="0"/>
              <w:adjustRightInd/>
              <w:snapToGrid w:val="0"/>
              <w:spacing w:line="560" w:lineRule="exact"/>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default" w:ascii="仿宋_GB2312" w:hAnsi="Times New Roman" w:eastAsia="仿宋_GB2312" w:cs="仿宋_GB2312"/>
                <w:b w:val="0"/>
                <w:bCs w:val="0"/>
                <w:strike w:val="0"/>
                <w:snapToGrid w:val="0"/>
                <w:color w:val="000000" w:themeColor="text1"/>
                <w:kern w:val="0"/>
                <w:sz w:val="24"/>
                <w:szCs w:val="24"/>
                <w:highlight w:val="none"/>
                <w14:textFill>
                  <w14:solidFill>
                    <w14:schemeClr w14:val="tx1"/>
                  </w14:solidFill>
                </w14:textFill>
              </w:rPr>
              <w:t>9</w:t>
            </w:r>
            <w:r>
              <w:rPr>
                <w:rFonts w:hint="eastAsia" w:ascii="仿宋_GB2312" w:hAnsi="Times New Roman" w:eastAsia="仿宋_GB2312" w:cs="仿宋_GB2312"/>
                <w:b w:val="0"/>
                <w:bCs w:val="0"/>
                <w:strike w:val="0"/>
                <w:snapToGrid w:val="0"/>
                <w:color w:val="000000" w:themeColor="text1"/>
                <w:kern w:val="0"/>
                <w:sz w:val="24"/>
                <w:szCs w:val="24"/>
                <w:highlight w:val="none"/>
                <w14:textFill>
                  <w14:solidFill>
                    <w14:schemeClr w14:val="tx1"/>
                  </w14:solidFill>
                </w14:textFill>
              </w:rPr>
              <w:t>.重度残疾人托养照护服务数（人次）</w:t>
            </w:r>
          </w:p>
        </w:tc>
        <w:tc>
          <w:tcPr>
            <w:tcW w:w="1150" w:type="dxa"/>
            <w:noWrap w:val="0"/>
            <w:vAlign w:val="center"/>
          </w:tcPr>
          <w:p w14:paraId="5E7E128B">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24"/>
                <w:szCs w:val="24"/>
                <w:highlight w:val="none"/>
                <w:lang w:eastAsia="zh-CN"/>
                <w14:textFill>
                  <w14:solidFill>
                    <w14:schemeClr w14:val="tx1"/>
                  </w14:solidFill>
                </w14:textFill>
              </w:rPr>
              <w:t>—</w:t>
            </w:r>
          </w:p>
        </w:tc>
        <w:tc>
          <w:tcPr>
            <w:tcW w:w="1307" w:type="dxa"/>
            <w:noWrap w:val="0"/>
            <w:vAlign w:val="center"/>
          </w:tcPr>
          <w:p w14:paraId="0D1ECC42">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仿宋_GB2312" w:eastAsia="仿宋_GB2312" w:cs="仿宋_GB2312"/>
                <w:b w:val="0"/>
                <w:bCs w:val="0"/>
                <w:snapToGrid w:val="0"/>
                <w:color w:val="000000" w:themeColor="text1"/>
                <w:kern w:val="0"/>
                <w:sz w:val="24"/>
                <w:szCs w:val="24"/>
                <w:highlight w:val="none"/>
                <w14:textFill>
                  <w14:solidFill>
                    <w14:schemeClr w14:val="tx1"/>
                  </w14:solidFill>
                </w14:textFill>
              </w:rPr>
              <w:t>&gt;</w:t>
            </w:r>
            <w:r>
              <w:rPr>
                <w:rFonts w:hint="eastAsia" w:ascii="仿宋_GB2312" w:hAnsi="仿宋_GB2312" w:eastAsia="仿宋_GB2312" w:cs="仿宋_GB2312"/>
                <w:b w:val="0"/>
                <w:bCs w:val="0"/>
                <w:snapToGrid w:val="0"/>
                <w:color w:val="000000" w:themeColor="text1"/>
                <w:kern w:val="0"/>
                <w:sz w:val="24"/>
                <w:szCs w:val="24"/>
                <w:highlight w:val="none"/>
                <w:lang w:val="en-US" w:eastAsia="zh-CN"/>
                <w14:textFill>
                  <w14:solidFill>
                    <w14:schemeClr w14:val="tx1"/>
                  </w14:solidFill>
                </w14:textFill>
              </w:rPr>
              <w:t>1.2万</w:t>
            </w:r>
            <w:r>
              <w:rPr>
                <w:rFonts w:hint="eastAsia" w:ascii="仿宋_GB2312" w:hAnsi="Times New Roman" w:eastAsia="仿宋_GB2312" w:cs="仿宋_GB2312"/>
                <w:b w:val="0"/>
                <w:bCs w:val="0"/>
                <w:snapToGrid w:val="0"/>
                <w:color w:val="000000" w:themeColor="text1"/>
                <w:kern w:val="0"/>
                <w:sz w:val="24"/>
                <w:szCs w:val="24"/>
                <w:highlight w:val="none"/>
                <w:lang w:val="en-US" w:eastAsia="zh-CN"/>
                <w14:textFill>
                  <w14:solidFill>
                    <w14:schemeClr w14:val="tx1"/>
                  </w14:solidFill>
                </w14:textFill>
              </w:rPr>
              <w:t>〕</w:t>
            </w:r>
          </w:p>
        </w:tc>
        <w:tc>
          <w:tcPr>
            <w:tcW w:w="1037" w:type="dxa"/>
            <w:noWrap w:val="0"/>
            <w:vAlign w:val="center"/>
          </w:tcPr>
          <w:p w14:paraId="043C4803">
            <w:pPr>
              <w:keepNext w:val="0"/>
              <w:keepLines w:val="0"/>
              <w:pageBreakBefore w:val="0"/>
              <w:widowControl w:val="0"/>
              <w:kinsoku/>
              <w:wordWrap/>
              <w:overflowPunct w:val="0"/>
              <w:topLinePunct w:val="0"/>
              <w:autoSpaceDE w:val="0"/>
              <w:autoSpaceDN w:val="0"/>
              <w:bidi w:val="0"/>
              <w:adjustRightInd/>
              <w:snapToGrid w:val="0"/>
              <w:spacing w:line="560" w:lineRule="exact"/>
              <w:jc w:val="center"/>
              <w:textAlignment w:val="auto"/>
              <w:rPr>
                <w:rFonts w:ascii="仿宋_GB2312" w:hAnsi="Times New Roman" w:eastAsia="仿宋_GB2312" w:cs="Times New Roman"/>
                <w:b w:val="0"/>
                <w:bCs w:val="0"/>
                <w:snapToGrid w:val="0"/>
                <w:color w:val="000000" w:themeColor="text1"/>
                <w:kern w:val="0"/>
                <w:sz w:val="24"/>
                <w:szCs w:val="24"/>
                <w:highlight w:val="none"/>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lang w:val="en-US" w:eastAsia="zh-CN"/>
                <w14:textFill>
                  <w14:solidFill>
                    <w14:schemeClr w14:val="tx1"/>
                  </w14:solidFill>
                </w14:textFill>
              </w:rPr>
              <w:t>预期</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性</w:t>
            </w:r>
          </w:p>
        </w:tc>
      </w:tr>
    </w:tbl>
    <w:p w14:paraId="36306275">
      <w:pPr>
        <w:keepNext w:val="0"/>
        <w:keepLines w:val="0"/>
        <w:pageBreakBefore w:val="0"/>
        <w:widowControl w:val="0"/>
        <w:kinsoku/>
        <w:wordWrap/>
        <w:overflowPunct w:val="0"/>
        <w:topLinePunct w:val="0"/>
        <w:autoSpaceDE w:val="0"/>
        <w:autoSpaceDN w:val="0"/>
        <w:bidi w:val="0"/>
        <w:adjustRightInd/>
        <w:spacing w:line="560" w:lineRule="exact"/>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Times New Roman" w:eastAsia="仿宋_GB2312" w:cs="仿宋_GB2312"/>
          <w:b w:val="0"/>
          <w:bCs w:val="0"/>
          <w:snapToGrid w:val="0"/>
          <w:color w:val="000000" w:themeColor="text1"/>
          <w:kern w:val="0"/>
          <w:sz w:val="24"/>
          <w:szCs w:val="24"/>
          <w:highlight w:val="none"/>
          <w:u w:val="none"/>
          <w:lang w:val="en-US" w:eastAsia="zh-CN"/>
          <w14:textFill>
            <w14:solidFill>
              <w14:schemeClr w14:val="tx1"/>
            </w14:solidFill>
          </w14:textFill>
        </w:rPr>
        <w:t>注：</w:t>
      </w:r>
      <w:r>
        <w:rPr>
          <w:rFonts w:hint="eastAsia" w:ascii="仿宋_GB2312" w:hAnsi="Times New Roman" w:eastAsia="仿宋_GB2312" w:cs="仿宋_GB2312"/>
          <w:b w:val="0"/>
          <w:bCs w:val="0"/>
          <w:snapToGrid w:val="0"/>
          <w:color w:val="000000" w:themeColor="text1"/>
          <w:kern w:val="0"/>
          <w:sz w:val="24"/>
          <w:szCs w:val="24"/>
          <w:highlight w:val="none"/>
          <w14:textFill>
            <w14:solidFill>
              <w14:schemeClr w14:val="tx1"/>
            </w14:solidFill>
          </w14:textFill>
        </w:rPr>
        <w:t>〔</w:t>
      </w:r>
      <w:r>
        <w:rPr>
          <w:rFonts w:hint="eastAsia" w:ascii="仿宋_GB2312" w:hAnsi="Times New Roman" w:eastAsia="仿宋_GB2312" w:cs="仿宋_GB2312"/>
          <w:b w:val="0"/>
          <w:bCs w:val="0"/>
          <w:snapToGrid w:val="0"/>
          <w:color w:val="000000" w:themeColor="text1"/>
          <w:kern w:val="0"/>
          <w:sz w:val="24"/>
          <w:szCs w:val="24"/>
          <w:highlight w:val="none"/>
          <w:lang w:val="en-US" w:eastAsia="zh-CN"/>
          <w14:textFill>
            <w14:solidFill>
              <w14:schemeClr w14:val="tx1"/>
            </w14:solidFill>
          </w14:textFill>
        </w:rPr>
        <w:t>〕内数据为5年累计数。</w:t>
      </w:r>
    </w:p>
    <w:p w14:paraId="606CC7DC">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二、主要任务</w:t>
      </w:r>
    </w:p>
    <w:p w14:paraId="0574DD16">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14:textFill>
            <w14:solidFill>
              <w14:schemeClr w14:val="tx1"/>
            </w14:solidFill>
          </w14:textFill>
        </w:rPr>
        <w:t>（一）织密精准帮扶网络，夯实残疾人社会保障根基</w:t>
      </w:r>
    </w:p>
    <w:p w14:paraId="25810DD8">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32"/>
          <w:szCs w:val="32"/>
          <w14:textFill>
            <w14:solidFill>
              <w14:schemeClr w14:val="tx1"/>
            </w14:solidFill>
          </w14:textFill>
        </w:rPr>
        <w:t>持续巩固残疾人脱贫成果。</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加强</w:t>
      </w:r>
      <w:r>
        <w:rPr>
          <w:rFonts w:hint="eastAsia" w:ascii="仿宋_GB2312" w:hAnsi="仿宋_GB2312" w:eastAsia="仿宋_GB2312" w:cs="仿宋_GB2312"/>
          <w:b w:val="0"/>
          <w:bCs w:val="0"/>
          <w:color w:val="000000" w:themeColor="text1"/>
          <w:sz w:val="32"/>
          <w:szCs w:val="32"/>
          <w14:textFill>
            <w14:solidFill>
              <w14:schemeClr w14:val="tx1"/>
            </w14:solidFill>
          </w14:textFill>
        </w:rPr>
        <w:t>防返贫致贫动态监测</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提升</w:t>
      </w:r>
      <w:r>
        <w:rPr>
          <w:rFonts w:hint="eastAsia" w:ascii="仿宋_GB2312" w:hAnsi="仿宋_GB2312" w:eastAsia="仿宋_GB2312" w:cs="仿宋_GB2312"/>
          <w:b w:val="0"/>
          <w:bCs w:val="0"/>
          <w:color w:val="000000" w:themeColor="text1"/>
          <w:sz w:val="32"/>
          <w:szCs w:val="32"/>
          <w14:textFill>
            <w14:solidFill>
              <w14:schemeClr w14:val="tx1"/>
            </w14:solidFill>
          </w14:textFill>
        </w:rPr>
        <w:t>精准帮扶</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能力</w:t>
      </w:r>
      <w:r>
        <w:rPr>
          <w:rFonts w:hint="eastAsia" w:ascii="仿宋_GB2312" w:hAnsi="仿宋_GB2312" w:eastAsia="仿宋_GB2312" w:cs="仿宋_GB2312"/>
          <w:b w:val="0"/>
          <w:bCs w:val="0"/>
          <w:color w:val="000000" w:themeColor="text1"/>
          <w:sz w:val="32"/>
          <w:szCs w:val="32"/>
          <w14:textFill>
            <w14:solidFill>
              <w14:schemeClr w14:val="tx1"/>
            </w14:solidFill>
          </w14:textFill>
        </w:rPr>
        <w:t>，强化农业农村、民政、人社、残联等部门数据共享与信息比对，对纳入监测范围的残疾人和需要继续帮扶的原建档立卡脱贫残疾人逐户逐人落实帮扶措施，坚决防止规模性返贫致贫。对有劳动能力的残疾人，通过就业带动、产业扶持、金融支持等方式激发内生动力，拓宽增收渠道，助力乡村全面振兴。</w:t>
      </w:r>
    </w:p>
    <w:p w14:paraId="7535A813">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2.增强</w:t>
      </w:r>
      <w:r>
        <w:rPr>
          <w:rFonts w:hint="eastAsia" w:ascii="仿宋_GB2312" w:hAnsi="仿宋_GB2312" w:eastAsia="仿宋_GB2312" w:cs="仿宋_GB2312"/>
          <w:b w:val="0"/>
          <w:bCs w:val="0"/>
          <w:color w:val="000000" w:themeColor="text1"/>
          <w:sz w:val="32"/>
          <w:szCs w:val="32"/>
          <w14:textFill>
            <w14:solidFill>
              <w14:schemeClr w14:val="tx1"/>
            </w14:solidFill>
          </w14:textFill>
        </w:rPr>
        <w:t>残疾人救助福利。按照分层分类原则落地残疾人社会救助各项举措，针对重度残疾、一户多残、老残一体、老弱照料残障亲属、残疾孤儿以及事实无人抚养残障少年儿童等重点困难群体，落实倾斜式兜底保障举措。严格执行教育、就业、康复等大额刚性支出抵扣减免相关规则，规范低保边缘家庭、存在刚性支出困难家庭的甄别认定流程。</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严格落实</w:t>
      </w:r>
      <w:r>
        <w:rPr>
          <w:rFonts w:hint="eastAsia" w:ascii="仿宋_GB2312" w:hAnsi="仿宋_GB2312" w:eastAsia="仿宋_GB2312" w:cs="仿宋_GB2312"/>
          <w:b w:val="0"/>
          <w:bCs w:val="0"/>
          <w:color w:val="000000" w:themeColor="text1"/>
          <w:sz w:val="32"/>
          <w:szCs w:val="32"/>
          <w14:textFill>
            <w14:solidFill>
              <w14:schemeClr w14:val="tx1"/>
            </w14:solidFill>
          </w14:textFill>
        </w:rPr>
        <w:t>困难残疾人生活</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补贴</w:t>
      </w:r>
      <w:r>
        <w:rPr>
          <w:rFonts w:hint="eastAsia" w:ascii="仿宋_GB2312" w:hAnsi="仿宋_GB2312" w:eastAsia="仿宋_GB2312" w:cs="仿宋_GB2312"/>
          <w:b w:val="0"/>
          <w:bCs w:val="0"/>
          <w:color w:val="000000" w:themeColor="text1"/>
          <w:sz w:val="32"/>
          <w:szCs w:val="32"/>
          <w14:textFill>
            <w14:solidFill>
              <w14:schemeClr w14:val="tx1"/>
            </w14:solidFill>
          </w14:textFill>
        </w:rPr>
        <w:t>、重度残疾人护理</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补贴</w:t>
      </w:r>
      <w:r>
        <w:rPr>
          <w:rFonts w:hint="eastAsia" w:ascii="仿宋_GB2312" w:hAnsi="仿宋_GB2312" w:eastAsia="仿宋_GB2312" w:cs="仿宋_GB2312"/>
          <w:b w:val="0"/>
          <w:bCs w:val="0"/>
          <w:color w:val="000000" w:themeColor="text1"/>
          <w:sz w:val="32"/>
          <w:szCs w:val="32"/>
          <w14:textFill>
            <w14:solidFill>
              <w14:schemeClr w14:val="tx1"/>
            </w14:solidFill>
          </w14:textFill>
        </w:rPr>
        <w:t>两项补贴相关制度。</w:t>
      </w:r>
    </w:p>
    <w:p w14:paraId="61EBCEFE">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32"/>
          <w:szCs w:val="32"/>
          <w14:textFill>
            <w14:solidFill>
              <w14:schemeClr w14:val="tx1"/>
            </w14:solidFill>
          </w14:textFill>
        </w:rPr>
        <w:t>拓展残疾人参保覆盖范围。保障符合条件的</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残疾人</w:t>
      </w:r>
      <w:r>
        <w:rPr>
          <w:rFonts w:hint="eastAsia" w:ascii="仿宋_GB2312" w:hAnsi="仿宋_GB2312" w:eastAsia="仿宋_GB2312" w:cs="仿宋_GB2312"/>
          <w:b w:val="0"/>
          <w:bCs w:val="0"/>
          <w:color w:val="000000" w:themeColor="text1"/>
          <w:sz w:val="32"/>
          <w:szCs w:val="32"/>
          <w14:textFill>
            <w14:solidFill>
              <w14:schemeClr w14:val="tx1"/>
            </w14:solidFill>
          </w14:textFill>
        </w:rPr>
        <w:t>依规享受居民医保、长护险参保资助以及城乡居民养老保险费用代缴政策。</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加强</w:t>
      </w:r>
      <w:r>
        <w:rPr>
          <w:rFonts w:hint="eastAsia" w:ascii="仿宋_GB2312" w:hAnsi="仿宋_GB2312" w:eastAsia="仿宋_GB2312" w:cs="仿宋_GB2312"/>
          <w:b w:val="0"/>
          <w:bCs w:val="0"/>
          <w:color w:val="000000" w:themeColor="text1"/>
          <w:sz w:val="32"/>
          <w:szCs w:val="32"/>
          <w14:textFill>
            <w14:solidFill>
              <w14:schemeClr w14:val="tx1"/>
            </w14:solidFill>
          </w14:textFill>
        </w:rPr>
        <w:t>医疗救助与基本医疗保险、大病保险之间的衔接联动，推动更多残疾人康复诊疗项目纳入医保报销范畴。打通长期护理保险与残疾人托养照料、康复帮扶政策的衔接通道，把符合资质的残疾人托养照料、康复服务机构纳入长护险定点机构名录。鼓励具备条件的区</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b w:val="0"/>
          <w:bCs w:val="0"/>
          <w:color w:val="000000" w:themeColor="text1"/>
          <w:sz w:val="32"/>
          <w:szCs w:val="32"/>
          <w14:textFill>
            <w14:solidFill>
              <w14:schemeClr w14:val="tx1"/>
            </w14:solidFill>
          </w14:textFill>
        </w:rPr>
        <w:t>为残疾人投保人身意外伤害保险，并逐步提升保险保障力度。</w:t>
      </w:r>
    </w:p>
    <w:p w14:paraId="10E44462">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32"/>
          <w:szCs w:val="32"/>
          <w14:textFill>
            <w14:solidFill>
              <w14:schemeClr w14:val="tx1"/>
            </w14:solidFill>
          </w14:textFill>
        </w:rPr>
        <w:t>优化残疾人优待服务供给。落实持证残疾人免费乘坐市内公共交通政策，鼓励高铁、民航等为残疾人提供优惠便利服务。落实政府定价管理的景区对残疾人减免门票等优惠，公共服务机构为残疾人提供优先办理和支持性服务。</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扎实开展残疾人信息消费优惠活动。</w:t>
      </w:r>
      <w:r>
        <w:rPr>
          <w:rFonts w:hint="eastAsia" w:ascii="仿宋_GB2312" w:hAnsi="仿宋_GB2312" w:eastAsia="仿宋_GB2312" w:cs="仿宋_GB2312"/>
          <w:b w:val="0"/>
          <w:bCs w:val="0"/>
          <w:color w:val="000000" w:themeColor="text1"/>
          <w:sz w:val="32"/>
          <w:szCs w:val="32"/>
          <w14:textFill>
            <w14:solidFill>
              <w14:schemeClr w14:val="tx1"/>
            </w14:solidFill>
          </w14:textFill>
        </w:rPr>
        <w:t>落实伤残军人和伤残</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人</w:t>
      </w:r>
      <w:r>
        <w:rPr>
          <w:rFonts w:hint="eastAsia" w:ascii="仿宋_GB2312" w:hAnsi="仿宋_GB2312" w:eastAsia="仿宋_GB2312" w:cs="仿宋_GB2312"/>
          <w:b w:val="0"/>
          <w:bCs w:val="0"/>
          <w:color w:val="000000" w:themeColor="text1"/>
          <w:sz w:val="32"/>
          <w:szCs w:val="32"/>
          <w14:textFill>
            <w14:solidFill>
              <w14:schemeClr w14:val="tx1"/>
            </w14:solidFill>
          </w14:textFill>
        </w:rPr>
        <w:t>民</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警察</w:t>
      </w:r>
      <w:r>
        <w:rPr>
          <w:rFonts w:hint="eastAsia" w:ascii="仿宋_GB2312" w:hAnsi="仿宋_GB2312" w:eastAsia="仿宋_GB2312" w:cs="仿宋_GB2312"/>
          <w:b w:val="0"/>
          <w:bCs w:val="0"/>
          <w:color w:val="000000" w:themeColor="text1"/>
          <w:sz w:val="32"/>
          <w:szCs w:val="32"/>
          <w14:textFill>
            <w14:solidFill>
              <w14:schemeClr w14:val="tx1"/>
            </w14:solidFill>
          </w14:textFill>
        </w:rPr>
        <w:t>抚恤优待规定。探索残疾人托付安置工作，支持开展残疾人特需及养老服务信托。</w:t>
      </w:r>
    </w:p>
    <w:p w14:paraId="11258054">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5.构建完备的残疾人托养照料服务体系。</w:t>
      </w:r>
      <w:r>
        <w:rPr>
          <w:rFonts w:hint="eastAsia" w:ascii="仿宋_GB2312" w:hAnsi="仿宋_GB2312" w:eastAsia="仿宋_GB2312" w:cs="仿宋_GB2312"/>
          <w:b w:val="0"/>
          <w:bCs w:val="0"/>
          <w:color w:val="000000" w:themeColor="text1"/>
          <w:sz w:val="32"/>
          <w:szCs w:val="32"/>
          <w14:textFill>
            <w14:solidFill>
              <w14:schemeClr w14:val="tx1"/>
            </w14:solidFill>
          </w14:textFill>
        </w:rPr>
        <w:t>充分盘活现有养老机构、长护险定点机构、精神卫生福利机构、儿童福利机构等资源，承接重度残疾人集中托养照料业务。</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充分发挥</w:t>
      </w:r>
      <w:r>
        <w:rPr>
          <w:rFonts w:hint="eastAsia" w:ascii="仿宋_GB2312" w:hAnsi="仿宋_GB2312" w:eastAsia="仿宋_GB2312" w:cs="仿宋_GB2312"/>
          <w:b w:val="0"/>
          <w:bCs w:val="0"/>
          <w:color w:val="000000" w:themeColor="text1"/>
          <w:sz w:val="32"/>
          <w:szCs w:val="32"/>
          <w14:textFill>
            <w14:solidFill>
              <w14:schemeClr w14:val="tx1"/>
            </w14:solidFill>
          </w14:textFill>
        </w:rPr>
        <w:t>“如康家园”残疾人之家</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重要</w:t>
      </w:r>
      <w:r>
        <w:rPr>
          <w:rFonts w:hint="eastAsia" w:ascii="仿宋_GB2312" w:hAnsi="仿宋_GB2312" w:eastAsia="仿宋_GB2312" w:cs="仿宋_GB2312"/>
          <w:b w:val="0"/>
          <w:bCs w:val="0"/>
          <w:color w:val="000000" w:themeColor="text1"/>
          <w:sz w:val="32"/>
          <w:szCs w:val="32"/>
          <w14:textFill>
            <w14:solidFill>
              <w14:schemeClr w14:val="tx1"/>
            </w14:solidFill>
          </w14:textFill>
        </w:rPr>
        <w:t>载体</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作用</w:t>
      </w:r>
      <w:r>
        <w:rPr>
          <w:rFonts w:hint="eastAsia" w:ascii="仿宋_GB2312" w:hAnsi="仿宋_GB2312" w:eastAsia="仿宋_GB2312" w:cs="仿宋_GB2312"/>
          <w:b w:val="0"/>
          <w:bCs w:val="0"/>
          <w:color w:val="000000" w:themeColor="text1"/>
          <w:sz w:val="32"/>
          <w:szCs w:val="32"/>
          <w14:textFill>
            <w14:solidFill>
              <w14:schemeClr w14:val="tx1"/>
            </w14:solidFill>
          </w14:textFill>
        </w:rPr>
        <w:t>，开展日间托管照料服务。引导专业化服务机构供给居家上门照护服务。探索推行“老年父母+残疾子女”共同入住养老或照护机构服务模式。大力发展邻里互助照料、定期探访关爱、短期喘息照护等多元化服务模式。持续推进“阳光家园计划”项目，推动托养照料服务和辅助就业业务深度融合。残疾人人口规模较大的区</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b w:val="0"/>
          <w:bCs w:val="0"/>
          <w:color w:val="000000" w:themeColor="text1"/>
          <w:sz w:val="32"/>
          <w:szCs w:val="32"/>
          <w14:textFill>
            <w14:solidFill>
              <w14:schemeClr w14:val="tx1"/>
            </w14:solidFill>
          </w14:textFill>
        </w:rPr>
        <w:t>，至少建成1处集中托养照料服务机构。</w:t>
      </w:r>
    </w:p>
    <w:p w14:paraId="0BCC43BC">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highlight w:val="none"/>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14:textFill>
            <w14:solidFill>
              <w14:schemeClr w14:val="tx1"/>
            </w14:solidFill>
          </w14:textFill>
        </w:rPr>
        <w:t>（二）健全全程康复链条，提升残疾人康复服务能级</w:t>
      </w:r>
    </w:p>
    <w:p w14:paraId="6C102435">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筑牢残疾预防健康屏障。实施全民科普残疾预防、发育障碍致残源头和出生缺陷防控、伤害致残重点领域防控、疾病致残全链条防控、残疾预防赋能保障和康复服务提质增效六大行动，有效控制和减少残疾发生发展。优化残疾人全</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生命</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周期健康服务与保障</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，不断</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扩大残疾人家庭医生签约</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的</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覆盖面，提升签约服务质量和满意度。</w:t>
      </w:r>
    </w:p>
    <w:p w14:paraId="1D324D43">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2.加大</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康复服务资源供给。加强综合医院、康复医院及妇幼保健院康复科建设。实施医疗卫生强基工程，</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持续</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提升</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基础卫生医疗机构的</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康复服务能力。扩大残疾人康复护理服务供给。持续实施残疾人精准康复服务行动，完善基本康复服务目录，推广残疾人自助互助康复服务。优化社区康复服务标准，夯实残疾人社区康复服务基础。加强残疾人专业康复机构建设和康复人才培养。</w:t>
      </w:r>
    </w:p>
    <w:p w14:paraId="0C0F3AC4">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提高残疾儿童康复质效。加强残疾儿童康复救助定点服务机构管理，落实“属地、等级、动态”管理机制，强化机构管理主体责任，实行机构等级与救助资金挂钩，推动机构规范化建设。加强残疾儿童康复救助质量评估，提高评估分值和融合康复在机构等级评估中的权重。开展孤独症儿童全生命周期关爱促进专项行动，健全全程关爱服务体系与保障政策。推动市级孤独症和智力残疾等残疾儿童康复专业技术人员规范化培训。落实省级肢残矫治、唇腭裂修复手术、残疾儿童人工耳蜗植入</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救助项目</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w:t>
      </w:r>
    </w:p>
    <w:p w14:paraId="44E9E14A">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完善辅助器具适配服务。完善辅助器具服务网络和保障体系，推动残疾人辅助器具“一站式”适配服务。修订残疾人基本型辅助器具适配补贴目录，研究制定残疾人创新型辅助器具适配补贴目录。推动</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落实</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辅助器具适配服务与康复辅助器具社区租赁、长期护理保险康复辅助器具租赁基金支付保障政策有效衔接。组建市级辅助器具检查验收机构，提高辅助器具服务质量。推动辅助器具进校园、进公共服务场所。</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326D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B5CDAF1">
            <w:pPr>
              <w:keepNext w:val="0"/>
              <w:keepLines w:val="0"/>
              <w:pageBreakBefore w:val="0"/>
              <w:widowControl w:val="0"/>
              <w:kinsoku/>
              <w:wordWrap/>
              <w:overflowPunct w:val="0"/>
              <w:topLinePunct w:val="0"/>
              <w:autoSpaceDE w:val="0"/>
              <w:autoSpaceDN w:val="0"/>
              <w:bidi w:val="0"/>
              <w:adjustRightInd/>
              <w:snapToGrid/>
              <w:spacing w:line="560" w:lineRule="exact"/>
              <w:jc w:val="center"/>
              <w:textAlignment w:val="auto"/>
              <w:rPr>
                <w:rFonts w:hint="eastAsia" w:ascii="楷体_GB2312" w:hAnsi="楷体_GB2312" w:eastAsia="楷体_GB2312" w:cs="楷体_GB2312"/>
                <w:b w:val="0"/>
                <w:bCs w:val="0"/>
                <w:color w:val="000000" w:themeColor="text1"/>
                <w:sz w:val="24"/>
                <w:szCs w:val="24"/>
                <w:vertAlign w:val="baseline"/>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专栏</w:t>
            </w:r>
            <w:r>
              <w:rPr>
                <w:rFonts w:hint="eastAsia" w:ascii="黑体" w:hAnsi="黑体" w:eastAsia="黑体" w:cs="黑体"/>
                <w:b w:val="0"/>
                <w:bCs w:val="0"/>
                <w:color w:val="000000" w:themeColor="text1"/>
                <w:sz w:val="24"/>
                <w:szCs w:val="24"/>
                <w:lang w:val="en-US" w:eastAsia="zh-CN"/>
                <w14:textFill>
                  <w14:solidFill>
                    <w14:schemeClr w14:val="tx1"/>
                  </w14:solidFill>
                </w14:textFill>
              </w:rPr>
              <w:t>2</w:t>
            </w:r>
            <w:r>
              <w:rPr>
                <w:rFonts w:hint="eastAsia" w:ascii="黑体" w:hAnsi="黑体" w:eastAsia="黑体" w:cs="黑体"/>
                <w:b w:val="0"/>
                <w:bCs w:val="0"/>
                <w:color w:val="000000" w:themeColor="text1"/>
                <w:sz w:val="24"/>
                <w:szCs w:val="24"/>
                <w14:textFill>
                  <w14:solidFill>
                    <w14:schemeClr w14:val="tx1"/>
                  </w14:solidFill>
                </w14:textFill>
              </w:rPr>
              <w:t>：残疾人康复服务</w:t>
            </w:r>
          </w:p>
        </w:tc>
      </w:tr>
      <w:tr w14:paraId="05FB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2DBFFAE3">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1.</w:t>
            </w:r>
            <w:r>
              <w:rPr>
                <w:rFonts w:hint="eastAsia" w:ascii="黑体" w:hAnsi="黑体" w:eastAsia="黑体" w:cs="黑体"/>
                <w:b w:val="0"/>
                <w:bCs w:val="0"/>
                <w:color w:val="000000" w:themeColor="text1"/>
                <w:sz w:val="24"/>
                <w:szCs w:val="24"/>
                <w14:textFill>
                  <w14:solidFill>
                    <w14:schemeClr w14:val="tx1"/>
                  </w14:solidFill>
                </w14:textFill>
              </w:rPr>
              <w:t>辅助器具进校园工程。</w:t>
            </w:r>
            <w:r>
              <w:rPr>
                <w:rFonts w:hint="eastAsia" w:ascii="仿宋_GB2312" w:hAnsi="仿宋_GB2312" w:eastAsia="仿宋_GB2312" w:cs="仿宋_GB2312"/>
                <w:b w:val="0"/>
                <w:bCs w:val="0"/>
                <w:color w:val="000000" w:themeColor="text1"/>
                <w:sz w:val="24"/>
                <w:szCs w:val="24"/>
                <w14:textFill>
                  <w14:solidFill>
                    <w14:schemeClr w14:val="tx1"/>
                  </w14:solidFill>
                </w14:textFill>
              </w:rPr>
              <w:t>通过政府购买服务方式，每年为在校残疾学生进行需求评估，适配相应辅助器具，做好跟踪服务，提高其学习生活便利性。</w:t>
            </w:r>
          </w:p>
          <w:p w14:paraId="712C1100">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2.</w:t>
            </w:r>
            <w:r>
              <w:rPr>
                <w:rFonts w:hint="eastAsia" w:ascii="黑体" w:hAnsi="黑体" w:eastAsia="黑体" w:cs="黑体"/>
                <w:b w:val="0"/>
                <w:bCs w:val="0"/>
                <w:color w:val="000000" w:themeColor="text1"/>
                <w:sz w:val="24"/>
                <w:szCs w:val="24"/>
                <w14:textFill>
                  <w14:solidFill>
                    <w14:schemeClr w14:val="tx1"/>
                  </w14:solidFill>
                </w14:textFill>
              </w:rPr>
              <w:t>残疾儿童康教融合项目。</w:t>
            </w:r>
            <w:r>
              <w:rPr>
                <w:rFonts w:hint="eastAsia" w:ascii="仿宋_GB2312" w:hAnsi="仿宋_GB2312" w:eastAsia="仿宋_GB2312" w:cs="仿宋_GB2312"/>
                <w:b w:val="0"/>
                <w:bCs w:val="0"/>
                <w:color w:val="000000" w:themeColor="text1"/>
                <w:sz w:val="24"/>
                <w:szCs w:val="24"/>
                <w14:textFill>
                  <w14:solidFill>
                    <w14:schemeClr w14:val="tx1"/>
                  </w14:solidFill>
                </w14:textFill>
              </w:rPr>
              <w:t>支持有条件的残疾儿童康复机构增设学前部（班）或附设幼儿园，设置特殊教育部（班）；支持有条件的特教学校开展康复业务，健全全学段残疾儿童康教融合服务体系。“十五五”期间，全市具备康教融合服务能力的康复机构达到10家以上。</w:t>
            </w:r>
          </w:p>
          <w:p w14:paraId="1909FFB9">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3.</w:t>
            </w:r>
            <w:r>
              <w:rPr>
                <w:rFonts w:hint="eastAsia" w:ascii="黑体" w:hAnsi="黑体" w:eastAsia="黑体" w:cs="黑体"/>
                <w:b w:val="0"/>
                <w:bCs w:val="0"/>
                <w:color w:val="000000" w:themeColor="text1"/>
                <w:sz w:val="24"/>
                <w:szCs w:val="24"/>
                <w14:textFill>
                  <w14:solidFill>
                    <w14:schemeClr w14:val="tx1"/>
                  </w14:solidFill>
                </w14:textFill>
              </w:rPr>
              <w:t>残疾儿童康复专业人才能力提升项目。</w:t>
            </w:r>
            <w:r>
              <w:rPr>
                <w:rFonts w:hint="eastAsia" w:ascii="仿宋_GB2312" w:hAnsi="仿宋_GB2312" w:eastAsia="仿宋_GB2312" w:cs="仿宋_GB2312"/>
                <w:b w:val="0"/>
                <w:bCs w:val="0"/>
                <w:color w:val="000000" w:themeColor="text1"/>
                <w:sz w:val="24"/>
                <w:szCs w:val="24"/>
                <w14:textFill>
                  <w14:solidFill>
                    <w14:schemeClr w14:val="tx1"/>
                  </w14:solidFill>
                </w14:textFill>
              </w:rPr>
              <w:t>实施残疾儿童康复专业技术人员规范化培训，重点开展孤独症和智力残疾儿童康复人才培养，探索相关专业人员职业能力水平等级评价规范。</w:t>
            </w:r>
          </w:p>
          <w:p w14:paraId="734C935B">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楷体_GB2312" w:hAnsi="楷体_GB2312" w:eastAsia="楷体_GB2312" w:cs="楷体_GB2312"/>
                <w:b w:val="0"/>
                <w:bCs w:val="0"/>
                <w:color w:val="000000" w:themeColor="text1"/>
                <w:sz w:val="24"/>
                <w:szCs w:val="24"/>
                <w:vertAlign w:val="baseline"/>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4.</w:t>
            </w:r>
            <w:r>
              <w:rPr>
                <w:rFonts w:hint="eastAsia" w:ascii="黑体" w:hAnsi="黑体" w:eastAsia="黑体" w:cs="黑体"/>
                <w:b w:val="0"/>
                <w:bCs w:val="0"/>
                <w:color w:val="000000" w:themeColor="text1"/>
                <w:sz w:val="24"/>
                <w:szCs w:val="24"/>
                <w14:textFill>
                  <w14:solidFill>
                    <w14:schemeClr w14:val="tx1"/>
                  </w14:solidFill>
                </w14:textFill>
              </w:rPr>
              <w:t>智能化社区康复护理服务平台。</w:t>
            </w:r>
            <w:r>
              <w:rPr>
                <w:rFonts w:hint="eastAsia" w:ascii="仿宋_GB2312" w:hAnsi="仿宋_GB2312" w:eastAsia="仿宋_GB2312" w:cs="仿宋_GB2312"/>
                <w:b w:val="0"/>
                <w:bCs w:val="0"/>
                <w:color w:val="000000" w:themeColor="text1"/>
                <w:sz w:val="24"/>
                <w:szCs w:val="24"/>
                <w14:textFill>
                  <w14:solidFill>
                    <w14:schemeClr w14:val="tx1"/>
                  </w14:solidFill>
                </w14:textFill>
              </w:rPr>
              <w:t>市级建设2家以上智能化社区康复护理服务示范平台，鼓励有条件的区市结合实际建设平台，拓展康复护理服务项目，创新服务模式，为残疾人、老年人等重点人群提供康复医疗、健康评估、健康教育、日间照护等服务。</w:t>
            </w:r>
          </w:p>
        </w:tc>
      </w:tr>
    </w:tbl>
    <w:p w14:paraId="110A74A6">
      <w:pPr>
        <w:keepNext w:val="0"/>
        <w:keepLines w:val="0"/>
        <w:pageBreakBefore w:val="0"/>
        <w:widowControl w:val="0"/>
        <w:kinsoku/>
        <w:wordWrap/>
        <w:overflowPunct w:val="0"/>
        <w:topLinePunct w:val="0"/>
        <w:autoSpaceDE w:val="0"/>
        <w:autoSpaceDN w:val="0"/>
        <w:bidi w:val="0"/>
        <w:adjustRightInd/>
        <w:snapToGrid/>
        <w:spacing w:line="560" w:lineRule="exact"/>
        <w:textAlignment w:val="auto"/>
        <w:rPr>
          <w:rFonts w:hint="eastAsia" w:ascii="楷体_GB2312" w:hAnsi="楷体_GB2312" w:eastAsia="楷体_GB2312" w:cs="楷体_GB2312"/>
          <w:b w:val="0"/>
          <w:bCs w:val="0"/>
          <w:color w:val="000000" w:themeColor="text1"/>
          <w:sz w:val="28"/>
          <w:szCs w:val="28"/>
          <w14:textFill>
            <w14:solidFill>
              <w14:schemeClr w14:val="tx1"/>
            </w14:solidFill>
          </w14:textFill>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EDD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B418573">
            <w:pPr>
              <w:keepNext w:val="0"/>
              <w:keepLines w:val="0"/>
              <w:pageBreakBefore w:val="0"/>
              <w:widowControl w:val="0"/>
              <w:kinsoku/>
              <w:wordWrap/>
              <w:overflowPunct w:val="0"/>
              <w:topLinePunct w:val="0"/>
              <w:autoSpaceDE w:val="0"/>
              <w:autoSpaceDN w:val="0"/>
              <w:bidi w:val="0"/>
              <w:adjustRightInd/>
              <w:snapToGrid/>
              <w:spacing w:line="560" w:lineRule="exact"/>
              <w:jc w:val="center"/>
              <w:textAlignment w:val="auto"/>
              <w:rPr>
                <w:rFonts w:hint="eastAsia"/>
                <w:b w:val="0"/>
                <w:bCs w:val="0"/>
                <w:color w:val="000000" w:themeColor="text1"/>
                <w:sz w:val="22"/>
                <w:szCs w:val="22"/>
                <w:vertAlign w:val="baseline"/>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专栏</w:t>
            </w:r>
            <w:r>
              <w:rPr>
                <w:rFonts w:hint="eastAsia" w:ascii="黑体" w:hAnsi="黑体" w:eastAsia="黑体" w:cs="黑体"/>
                <w:b w:val="0"/>
                <w:bCs w:val="0"/>
                <w:color w:val="000000" w:themeColor="text1"/>
                <w:sz w:val="24"/>
                <w:szCs w:val="24"/>
                <w:lang w:val="en-US" w:eastAsia="zh-CN"/>
                <w14:textFill>
                  <w14:solidFill>
                    <w14:schemeClr w14:val="tx1"/>
                  </w14:solidFill>
                </w14:textFill>
              </w:rPr>
              <w:t>3</w:t>
            </w:r>
            <w:r>
              <w:rPr>
                <w:rFonts w:hint="eastAsia" w:ascii="黑体" w:hAnsi="黑体" w:eastAsia="黑体" w:cs="黑体"/>
                <w:b w:val="0"/>
                <w:bCs w:val="0"/>
                <w:color w:val="000000" w:themeColor="text1"/>
                <w:sz w:val="24"/>
                <w:szCs w:val="24"/>
                <w14:textFill>
                  <w14:solidFill>
                    <w14:schemeClr w14:val="tx1"/>
                  </w14:solidFill>
                </w14:textFill>
              </w:rPr>
              <w:t>：</w:t>
            </w:r>
            <w:r>
              <w:rPr>
                <w:rFonts w:hint="eastAsia" w:ascii="黑体" w:hAnsi="黑体" w:eastAsia="黑体" w:cs="黑体"/>
                <w:b w:val="0"/>
                <w:bCs w:val="0"/>
                <w:color w:val="000000" w:themeColor="text1"/>
                <w:sz w:val="24"/>
                <w:szCs w:val="24"/>
                <w:lang w:val="en-US" w:eastAsia="zh-CN"/>
                <w14:textFill>
                  <w14:solidFill>
                    <w14:schemeClr w14:val="tx1"/>
                  </w14:solidFill>
                </w14:textFill>
              </w:rPr>
              <w:t>特殊困难残疾人关爱服务</w:t>
            </w:r>
          </w:p>
        </w:tc>
      </w:tr>
      <w:tr w14:paraId="7A67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07EDA18B">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1.精神残疾人关爱服务项目。</w:t>
            </w:r>
            <w:r>
              <w:rPr>
                <w:rFonts w:hint="eastAsia" w:ascii="仿宋_GB2312" w:hAnsi="仿宋_GB2312" w:eastAsia="仿宋_GB2312" w:cs="仿宋_GB2312"/>
                <w:b w:val="0"/>
                <w:bCs w:val="0"/>
                <w:color w:val="000000" w:themeColor="text1"/>
                <w:sz w:val="24"/>
                <w:szCs w:val="24"/>
                <w14:textFill>
                  <w14:solidFill>
                    <w14:schemeClr w14:val="tx1"/>
                  </w14:solidFill>
                </w14:textFill>
              </w:rPr>
              <w:t>深化以居家照料、社区融合为核心的精神障碍社区康复，开展精神残疾人及家属自助互助康复服务、精神残疾人日间照料和职业康复服务，帮助稳定期精神残疾人积极融入社会，到校就读、社会就业、在公共空间正常生活。</w:t>
            </w:r>
          </w:p>
          <w:p w14:paraId="7B762EB5">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2.孤独症儿童家庭支持项目。</w:t>
            </w:r>
            <w:r>
              <w:rPr>
                <w:rFonts w:hint="eastAsia" w:ascii="仿宋_GB2312" w:hAnsi="仿宋_GB2312" w:eastAsia="仿宋_GB2312" w:cs="仿宋_GB2312"/>
                <w:b w:val="0"/>
                <w:bCs w:val="0"/>
                <w:color w:val="000000" w:themeColor="text1"/>
                <w:sz w:val="24"/>
                <w:szCs w:val="24"/>
                <w14:textFill>
                  <w14:solidFill>
                    <w14:schemeClr w14:val="tx1"/>
                  </w14:solidFill>
                </w14:textFill>
              </w:rPr>
              <w:t>支持各级依托“如康家园”残疾人之家、社区服务机构、社会组织、专业孤独症康复机构，探索建设孤独症家庭支持中心。发挥孤独症儿童亲属骨干力量，推广居家照护康复实践经验，搭建同伴互助平台，为孤独症儿童家庭提供心理疏导、托养照护、定期探访、康复指导以及照料者喘息赋能服务，缓解家庭照护压力。</w:t>
            </w:r>
          </w:p>
          <w:p w14:paraId="69ED35BE">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b w:val="0"/>
                <w:bCs w:val="0"/>
                <w:color w:val="000000" w:themeColor="text1"/>
                <w:vertAlign w:val="baseline"/>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3.大龄孤独症社区生活和就业安置项目。</w:t>
            </w:r>
            <w:r>
              <w:rPr>
                <w:rFonts w:hint="eastAsia" w:ascii="仿宋_GB2312" w:hAnsi="仿宋_GB2312" w:eastAsia="仿宋_GB2312" w:cs="仿宋_GB2312"/>
                <w:b w:val="0"/>
                <w:bCs w:val="0"/>
                <w:color w:val="000000" w:themeColor="text1"/>
                <w:sz w:val="24"/>
                <w:szCs w:val="24"/>
                <w14:textFill>
                  <w14:solidFill>
                    <w14:schemeClr w14:val="tx1"/>
                  </w14:solidFill>
                </w14:textFill>
              </w:rPr>
              <w:t>对康复效果好的大龄孤独症儿童和孤独症青年进行生活自理能力培训、职业技能培训和就业指导服务，提高大龄孤独症职业技能和社会适应能力，帮助其在社区就业或实现庇护性就业，促进融入社会。</w:t>
            </w:r>
          </w:p>
        </w:tc>
      </w:tr>
    </w:tbl>
    <w:p w14:paraId="01F9AF8B">
      <w:pPr>
        <w:pStyle w:val="7"/>
        <w:keepNext w:val="0"/>
        <w:keepLines w:val="0"/>
        <w:pageBreakBefore w:val="0"/>
        <w:widowControl w:val="0"/>
        <w:kinsoku/>
        <w:wordWrap/>
        <w:overflowPunct w:val="0"/>
        <w:topLinePunct w:val="0"/>
        <w:autoSpaceDE w:val="0"/>
        <w:autoSpaceDN w:val="0"/>
        <w:bidi w:val="0"/>
        <w:adjustRightInd/>
        <w:spacing w:line="560" w:lineRule="exact"/>
        <w:ind w:left="0" w:leftChars="0" w:firstLine="0" w:firstLineChars="0"/>
        <w:textAlignment w:val="auto"/>
        <w:rPr>
          <w:rFonts w:hint="eastAsia"/>
          <w:b w:val="0"/>
          <w:bCs w:val="0"/>
          <w:color w:val="000000" w:themeColor="text1"/>
          <w14:textFill>
            <w14:solidFill>
              <w14:schemeClr w14:val="tx1"/>
            </w14:solidFill>
          </w14:textFill>
        </w:rPr>
      </w:pPr>
    </w:p>
    <w:p w14:paraId="6A3744DA">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14:textFill>
            <w14:solidFill>
              <w14:schemeClr w14:val="tx1"/>
            </w14:solidFill>
          </w14:textFill>
        </w:rPr>
        <w:t>（三）拓宽就业创业通道，增强残疾人增收致富能力</w:t>
      </w:r>
    </w:p>
    <w:p w14:paraId="45E03452">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32"/>
          <w:szCs w:val="32"/>
          <w14:textFill>
            <w14:solidFill>
              <w14:schemeClr w14:val="tx1"/>
            </w14:solidFill>
          </w14:textFill>
        </w:rPr>
        <w:t>强化就业创业政策支撑。持续推进残疾人促进就业</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32"/>
          <w:szCs w:val="32"/>
          <w14:textFill>
            <w14:solidFill>
              <w14:schemeClr w14:val="tx1"/>
            </w14:solidFill>
          </w14:textFill>
        </w:rPr>
        <w:t>专项行动。建立健全机关事业单位残疾人就业数据统计、对外公示以及岗位预留机制，科学设置面向残障人员的招录岗位。鼓励有条件的区</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b w:val="0"/>
          <w:bCs w:val="0"/>
          <w:color w:val="000000" w:themeColor="text1"/>
          <w:sz w:val="32"/>
          <w:szCs w:val="32"/>
          <w14:textFill>
            <w14:solidFill>
              <w14:schemeClr w14:val="tx1"/>
            </w14:solidFill>
          </w14:textFill>
        </w:rPr>
        <w:t>为残疾人就业创业孵化载体提供场地供给或者租金减免扶持。深化“共享阳光”残疾人就业创业项目建设，完善适配残疾人的创业就业金融配套服务。</w:t>
      </w:r>
    </w:p>
    <w:p w14:paraId="29E9A166">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14:textFill>
            <w14:solidFill>
              <w14:schemeClr w14:val="tx1"/>
            </w14:solidFill>
          </w14:textFill>
        </w:rPr>
        <w:t>拓展就业创业多元路径。扶持辅助性就业业态发展，落实场地补贴等各类惠企扶持政策。推广“企业按比例安置就业+如康家园集中就业”发展模式，引导用人单位依托“如康家园”残疾人之家等辅助就业</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机构</w:t>
      </w:r>
      <w:r>
        <w:rPr>
          <w:rFonts w:hint="eastAsia" w:ascii="仿宋_GB2312" w:hAnsi="仿宋_GB2312" w:eastAsia="仿宋_GB2312" w:cs="仿宋_GB2312"/>
          <w:b w:val="0"/>
          <w:bCs w:val="0"/>
          <w:color w:val="000000" w:themeColor="text1"/>
          <w:sz w:val="32"/>
          <w:szCs w:val="32"/>
          <w14:textFill>
            <w14:solidFill>
              <w14:schemeClr w14:val="tx1"/>
            </w14:solidFill>
          </w14:textFill>
        </w:rPr>
        <w:t>吸纳残疾人就业。支持残疾人灵活就业与自主创业</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大力培育残疾人线上新业态就业创业模式。</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加强</w:t>
      </w:r>
      <w:r>
        <w:rPr>
          <w:rFonts w:hint="eastAsia" w:ascii="仿宋_GB2312" w:hAnsi="仿宋_GB2312" w:eastAsia="仿宋_GB2312" w:cs="仿宋_GB2312"/>
          <w:b w:val="0"/>
          <w:bCs w:val="0"/>
          <w:color w:val="000000" w:themeColor="text1"/>
          <w:sz w:val="32"/>
          <w:szCs w:val="32"/>
          <w14:textFill>
            <w14:solidFill>
              <w14:schemeClr w14:val="tx1"/>
            </w14:solidFill>
          </w14:textFill>
        </w:rPr>
        <w:t>公益性岗位开发与管理，优先安置符合条件的残疾人。引导盲人按摩行业规范化高质量发展，</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扩</w:t>
      </w:r>
      <w:r>
        <w:rPr>
          <w:rFonts w:hint="eastAsia" w:ascii="仿宋_GB2312" w:hAnsi="仿宋_GB2312" w:eastAsia="仿宋_GB2312" w:cs="仿宋_GB2312"/>
          <w:b w:val="0"/>
          <w:bCs w:val="0"/>
          <w:color w:val="000000" w:themeColor="text1"/>
          <w:sz w:val="32"/>
          <w:szCs w:val="32"/>
          <w14:textFill>
            <w14:solidFill>
              <w14:schemeClr w14:val="tx1"/>
            </w14:solidFill>
          </w14:textFill>
        </w:rPr>
        <w:t>大“齐鲁手创”品牌影响力，支持盲人医疗按摩从业者进驻社区卫生服务中心等公立医疗机构执业。</w:t>
      </w:r>
    </w:p>
    <w:p w14:paraId="4501AD59">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32"/>
          <w:szCs w:val="32"/>
          <w14:textFill>
            <w14:solidFill>
              <w14:schemeClr w14:val="tx1"/>
            </w14:solidFill>
          </w14:textFill>
        </w:rPr>
        <w:t>提升职业技能培训水平。落实山东省残疾人职业技能提升相关工作部署。</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用好</w:t>
      </w:r>
      <w:r>
        <w:rPr>
          <w:rFonts w:hint="eastAsia" w:ascii="仿宋_GB2312" w:hAnsi="仿宋_GB2312" w:eastAsia="仿宋_GB2312" w:cs="仿宋_GB2312"/>
          <w:b w:val="0"/>
          <w:bCs w:val="0"/>
          <w:color w:val="000000" w:themeColor="text1"/>
          <w:sz w:val="32"/>
          <w:szCs w:val="32"/>
          <w14:textFill>
            <w14:solidFill>
              <w14:schemeClr w14:val="tx1"/>
            </w14:solidFill>
          </w14:textFill>
        </w:rPr>
        <w:t>残疾人职业</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培训</w:t>
      </w:r>
      <w:r>
        <w:rPr>
          <w:rFonts w:hint="eastAsia" w:ascii="仿宋_GB2312" w:hAnsi="仿宋_GB2312" w:eastAsia="仿宋_GB2312" w:cs="仿宋_GB2312"/>
          <w:b w:val="0"/>
          <w:bCs w:val="0"/>
          <w:color w:val="000000" w:themeColor="text1"/>
          <w:sz w:val="32"/>
          <w:szCs w:val="32"/>
          <w14:textFill>
            <w14:solidFill>
              <w14:schemeClr w14:val="tx1"/>
            </w14:solidFill>
          </w14:textFill>
        </w:rPr>
        <w:t>基地，</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优化培训课程和</w:t>
      </w:r>
      <w:r>
        <w:rPr>
          <w:rFonts w:hint="eastAsia" w:ascii="仿宋_GB2312" w:hAnsi="仿宋_GB2312" w:eastAsia="仿宋_GB2312" w:cs="仿宋_GB2312"/>
          <w:b w:val="0"/>
          <w:bCs w:val="0"/>
          <w:color w:val="000000" w:themeColor="text1"/>
          <w:sz w:val="32"/>
          <w:szCs w:val="32"/>
          <w14:textFill>
            <w14:solidFill>
              <w14:schemeClr w14:val="tx1"/>
            </w14:solidFill>
          </w14:textFill>
        </w:rPr>
        <w:t>培训经费保障模式。面向残疾人普遍开展职业能力测评服务，常态化组织职业技能实操培训。重视残疾人技能人才挖掘培育，组织选手参</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加</w:t>
      </w:r>
      <w:r>
        <w:rPr>
          <w:rFonts w:hint="eastAsia" w:ascii="仿宋_GB2312" w:hAnsi="仿宋_GB2312" w:eastAsia="仿宋_GB2312" w:cs="仿宋_GB2312"/>
          <w:b w:val="0"/>
          <w:bCs w:val="0"/>
          <w:color w:val="000000" w:themeColor="text1"/>
          <w:sz w:val="32"/>
          <w:szCs w:val="32"/>
          <w14:textFill>
            <w14:solidFill>
              <w14:schemeClr w14:val="tx1"/>
            </w14:solidFill>
          </w14:textFill>
        </w:rPr>
        <w:t>省级残疾人职业技能</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竞赛</w:t>
      </w:r>
      <w:r>
        <w:rPr>
          <w:rFonts w:hint="eastAsia" w:ascii="仿宋_GB2312" w:hAnsi="仿宋_GB2312" w:eastAsia="仿宋_GB2312" w:cs="仿宋_GB2312"/>
          <w:b w:val="0"/>
          <w:bCs w:val="0"/>
          <w:color w:val="000000" w:themeColor="text1"/>
          <w:sz w:val="32"/>
          <w:szCs w:val="32"/>
          <w14:textFill>
            <w14:solidFill>
              <w14:schemeClr w14:val="tx1"/>
            </w14:solidFill>
          </w14:textFill>
        </w:rPr>
        <w:t>，择优推送人员参</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加</w:t>
      </w:r>
      <w:r>
        <w:rPr>
          <w:rFonts w:hint="eastAsia" w:ascii="仿宋_GB2312" w:hAnsi="仿宋_GB2312" w:eastAsia="仿宋_GB2312" w:cs="仿宋_GB2312"/>
          <w:b w:val="0"/>
          <w:bCs w:val="0"/>
          <w:color w:val="000000" w:themeColor="text1"/>
          <w:sz w:val="32"/>
          <w:szCs w:val="32"/>
          <w14:textFill>
            <w14:solidFill>
              <w14:schemeClr w14:val="tx1"/>
            </w14:solidFill>
          </w14:textFill>
        </w:rPr>
        <w:t>全国残疾人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职业</w:t>
      </w:r>
      <w:r>
        <w:rPr>
          <w:rFonts w:hint="eastAsia" w:ascii="仿宋_GB2312" w:hAnsi="仿宋_GB2312" w:eastAsia="仿宋_GB2312" w:cs="仿宋_GB2312"/>
          <w:b w:val="0"/>
          <w:bCs w:val="0"/>
          <w:color w:val="000000" w:themeColor="text1"/>
          <w:sz w:val="32"/>
          <w:szCs w:val="32"/>
          <w14:textFill>
            <w14:solidFill>
              <w14:schemeClr w14:val="tx1"/>
            </w14:solidFill>
          </w14:textFill>
        </w:rPr>
        <w:t>技能</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竞赛</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p>
    <w:p w14:paraId="2EF8041A">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32"/>
          <w:szCs w:val="32"/>
          <w14:textFill>
            <w14:solidFill>
              <w14:schemeClr w14:val="tx1"/>
            </w14:solidFill>
          </w14:textFill>
        </w:rPr>
        <w:t>优化就业服务运行机制。推动残疾人就业服务机构标准化建设。面向用人单位开展政策宣讲培训，落实上门走访服务。组织就业援助月、走访拓岗</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促就业</w:t>
      </w:r>
      <w:r>
        <w:rPr>
          <w:rFonts w:hint="eastAsia" w:ascii="仿宋_GB2312" w:hAnsi="仿宋_GB2312" w:eastAsia="仿宋_GB2312" w:cs="仿宋_GB2312"/>
          <w:b w:val="0"/>
          <w:bCs w:val="0"/>
          <w:color w:val="000000" w:themeColor="text1"/>
          <w:sz w:val="32"/>
          <w:szCs w:val="32"/>
          <w14:textFill>
            <w14:solidFill>
              <w14:schemeClr w14:val="tx1"/>
            </w14:solidFill>
          </w14:textFill>
        </w:rPr>
        <w:t>、专场招聘会等系列就业对接活动。规范残疾人按比例就业</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审核</w:t>
      </w:r>
      <w:r>
        <w:rPr>
          <w:rFonts w:hint="eastAsia" w:ascii="仿宋_GB2312" w:hAnsi="仿宋_GB2312" w:eastAsia="仿宋_GB2312" w:cs="仿宋_GB2312"/>
          <w:b w:val="0"/>
          <w:bCs w:val="0"/>
          <w:color w:val="000000" w:themeColor="text1"/>
          <w:sz w:val="32"/>
          <w:szCs w:val="32"/>
          <w14:textFill>
            <w14:solidFill>
              <w14:schemeClr w14:val="tx1"/>
            </w14:solidFill>
          </w14:textFill>
        </w:rPr>
        <w:t>，常态化校验更新就业相关数据。</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开展职业辅导服务</w:t>
      </w:r>
      <w:r>
        <w:rPr>
          <w:rFonts w:hint="eastAsia" w:ascii="仿宋_GB2312" w:hAnsi="仿宋_GB2312" w:eastAsia="仿宋_GB2312" w:cs="仿宋_GB2312"/>
          <w:b w:val="0"/>
          <w:bCs w:val="0"/>
          <w:color w:val="000000" w:themeColor="text1"/>
          <w:sz w:val="32"/>
          <w:szCs w:val="32"/>
          <w14:textFill>
            <w14:solidFill>
              <w14:schemeClr w14:val="tx1"/>
            </w14:solidFill>
          </w14:textFill>
        </w:rPr>
        <w:t>。落实残疾人高校毕业生“一人一档、一人一策”精准就业帮扶。壮大残疾人就业辅导员、职业能力评估师队伍</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多渠道宣传普及残疾人就业创业扶持政策。</w:t>
      </w:r>
    </w:p>
    <w:p w14:paraId="58DB63D8">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sz w:val="32"/>
          <w:szCs w:val="32"/>
          <w14:textFill>
            <w14:solidFill>
              <w14:schemeClr w14:val="tx1"/>
            </w14:solidFill>
          </w14:textFill>
        </w:rPr>
        <w:t>筑牢就业权益保障防线。为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残疾人就业提供</w:t>
      </w:r>
      <w:r>
        <w:rPr>
          <w:rFonts w:hint="eastAsia" w:ascii="仿宋_GB2312" w:hAnsi="仿宋_GB2312" w:eastAsia="仿宋_GB2312" w:cs="仿宋_GB2312"/>
          <w:b w:val="0"/>
          <w:bCs w:val="0"/>
          <w:color w:val="000000" w:themeColor="text1"/>
          <w:sz w:val="32"/>
          <w:szCs w:val="32"/>
          <w14:textFill>
            <w14:solidFill>
              <w14:schemeClr w14:val="tx1"/>
            </w14:solidFill>
          </w14:textFill>
        </w:rPr>
        <w:t>便利条件，完善就业场景无障碍配套。</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激励企业扛牢社会责任，</w:t>
      </w:r>
      <w:r>
        <w:rPr>
          <w:rFonts w:hint="eastAsia" w:ascii="仿宋_GB2312" w:hAnsi="仿宋_GB2312" w:eastAsia="仿宋_GB2312" w:cs="仿宋_GB2312"/>
          <w:b w:val="0"/>
          <w:bCs w:val="0"/>
          <w:color w:val="000000" w:themeColor="text1"/>
          <w:sz w:val="32"/>
          <w:szCs w:val="32"/>
          <w14:textFill>
            <w14:solidFill>
              <w14:schemeClr w14:val="tx1"/>
            </w14:solidFill>
          </w14:textFill>
        </w:rPr>
        <w:t>按比例吸纳残疾人就业。常态化开展人力资源市场秩序专项整治，依规查处就业歧视、侵害残疾人劳动权益等违规行为</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6D0F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0441C051">
            <w:pPr>
              <w:keepNext w:val="0"/>
              <w:keepLines w:val="0"/>
              <w:pageBreakBefore w:val="0"/>
              <w:widowControl w:val="0"/>
              <w:kinsoku/>
              <w:wordWrap/>
              <w:overflowPunct w:val="0"/>
              <w:topLinePunct w:val="0"/>
              <w:autoSpaceDE w:val="0"/>
              <w:autoSpaceDN w:val="0"/>
              <w:bidi w:val="0"/>
              <w:adjustRightInd/>
              <w:snapToGrid/>
              <w:spacing w:line="560" w:lineRule="exact"/>
              <w:jc w:val="center"/>
              <w:textAlignment w:val="auto"/>
              <w:rPr>
                <w:rFonts w:hint="eastAsia" w:ascii="仿宋_GB2312" w:hAnsi="仿宋_GB2312" w:eastAsia="仿宋_GB2312" w:cs="仿宋_GB2312"/>
                <w:b w:val="0"/>
                <w:bCs w:val="0"/>
                <w:color w:val="000000" w:themeColor="text1"/>
                <w:sz w:val="24"/>
                <w:szCs w:val="24"/>
                <w:vertAlign w:val="baseline"/>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专栏</w:t>
            </w:r>
            <w:r>
              <w:rPr>
                <w:rFonts w:hint="eastAsia" w:ascii="黑体" w:hAnsi="黑体" w:eastAsia="黑体" w:cs="黑体"/>
                <w:b w:val="0"/>
                <w:bCs w:val="0"/>
                <w:color w:val="000000" w:themeColor="text1"/>
                <w:sz w:val="24"/>
                <w:szCs w:val="24"/>
                <w:lang w:val="en-US" w:eastAsia="zh-CN"/>
                <w14:textFill>
                  <w14:solidFill>
                    <w14:schemeClr w14:val="tx1"/>
                  </w14:solidFill>
                </w14:textFill>
              </w:rPr>
              <w:t>4</w:t>
            </w:r>
            <w:r>
              <w:rPr>
                <w:rFonts w:hint="eastAsia" w:ascii="黑体" w:hAnsi="黑体" w:eastAsia="黑体" w:cs="黑体"/>
                <w:b w:val="0"/>
                <w:bCs w:val="0"/>
                <w:color w:val="000000" w:themeColor="text1"/>
                <w:sz w:val="24"/>
                <w:szCs w:val="24"/>
                <w14:textFill>
                  <w14:solidFill>
                    <w14:schemeClr w14:val="tx1"/>
                  </w14:solidFill>
                </w14:textFill>
              </w:rPr>
              <w:t>：残疾人就业创业</w:t>
            </w:r>
          </w:p>
        </w:tc>
      </w:tr>
      <w:tr w14:paraId="65F8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6401308">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1.</w:t>
            </w:r>
            <w:r>
              <w:rPr>
                <w:rFonts w:hint="eastAsia" w:ascii="黑体" w:hAnsi="黑体" w:eastAsia="黑体" w:cs="黑体"/>
                <w:b w:val="0"/>
                <w:bCs w:val="0"/>
                <w:color w:val="000000" w:themeColor="text1"/>
                <w:sz w:val="24"/>
                <w:szCs w:val="24"/>
                <w14:textFill>
                  <w14:solidFill>
                    <w14:schemeClr w14:val="tx1"/>
                  </w14:solidFill>
                </w14:textFill>
              </w:rPr>
              <w:t>党政机关、事业单位按比例安排残疾人就业。</w:t>
            </w:r>
            <w:r>
              <w:rPr>
                <w:rFonts w:hint="eastAsia" w:ascii="仿宋_GB2312" w:hAnsi="仿宋_GB2312" w:eastAsia="仿宋_GB2312" w:cs="仿宋_GB2312"/>
                <w:b w:val="0"/>
                <w:bCs w:val="0"/>
                <w:color w:val="000000" w:themeColor="text1"/>
                <w:sz w:val="24"/>
                <w:szCs w:val="24"/>
                <w14:textFill>
                  <w14:solidFill>
                    <w14:schemeClr w14:val="tx1"/>
                  </w14:solidFill>
                </w14:textFill>
              </w:rPr>
              <w:t>市级编制50人及以上机关和编制67人及以上事业单位（中小学、幼儿园除外），安排残疾人就业未达到规定比例的，至少安排1名残疾人就业。</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区市、乡镇</w:t>
            </w:r>
            <w:r>
              <w:rPr>
                <w:rFonts w:hint="eastAsia" w:ascii="仿宋_GB2312" w:hAnsi="仿宋_GB2312" w:eastAsia="仿宋_GB2312" w:cs="仿宋_GB2312"/>
                <w:b w:val="0"/>
                <w:bCs w:val="0"/>
                <w:color w:val="000000" w:themeColor="text1"/>
                <w:sz w:val="24"/>
                <w:szCs w:val="24"/>
                <w14:textFill>
                  <w14:solidFill>
                    <w14:schemeClr w14:val="tx1"/>
                  </w14:solidFill>
                </w14:textFill>
              </w:rPr>
              <w:t>两级根据机关和事业单位编制总数，统筹安排残疾人就业达到规定比例。</w:t>
            </w:r>
          </w:p>
          <w:p w14:paraId="54C58DC9">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2.</w:t>
            </w:r>
            <w:r>
              <w:rPr>
                <w:rFonts w:hint="eastAsia" w:ascii="黑体" w:hAnsi="黑体" w:eastAsia="黑体" w:cs="黑体"/>
                <w:b w:val="0"/>
                <w:bCs w:val="0"/>
                <w:color w:val="000000" w:themeColor="text1"/>
                <w:sz w:val="24"/>
                <w:szCs w:val="24"/>
                <w14:textFill>
                  <w14:solidFill>
                    <w14:schemeClr w14:val="tx1"/>
                  </w14:solidFill>
                </w14:textFill>
              </w:rPr>
              <w:t>残疾人“互联网+”就业创业。</w:t>
            </w:r>
            <w:r>
              <w:rPr>
                <w:rFonts w:hint="eastAsia" w:ascii="仿宋_GB2312" w:hAnsi="仿宋_GB2312" w:eastAsia="仿宋_GB2312" w:cs="仿宋_GB2312"/>
                <w:b w:val="0"/>
                <w:bCs w:val="0"/>
                <w:color w:val="000000" w:themeColor="text1"/>
                <w:sz w:val="24"/>
                <w:szCs w:val="24"/>
                <w14:textFill>
                  <w14:solidFill>
                    <w14:schemeClr w14:val="tx1"/>
                  </w14:solidFill>
                </w14:textFill>
              </w:rPr>
              <w:t>为残疾人提供政策引导、经费补助、技能培训等支持，促进残疾人直播带货、数据标注、云客服、人工智能应用等新就业形态发展。</w:t>
            </w:r>
          </w:p>
          <w:p w14:paraId="181E43E0">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3.</w:t>
            </w:r>
            <w:r>
              <w:rPr>
                <w:rFonts w:hint="eastAsia" w:ascii="黑体" w:hAnsi="黑体" w:eastAsia="黑体" w:cs="黑体"/>
                <w:b w:val="0"/>
                <w:bCs w:val="0"/>
                <w:color w:val="000000" w:themeColor="text1"/>
                <w:sz w:val="24"/>
                <w:szCs w:val="24"/>
                <w14:textFill>
                  <w14:solidFill>
                    <w14:schemeClr w14:val="tx1"/>
                  </w14:solidFill>
                </w14:textFill>
              </w:rPr>
              <w:t>残疾人大学生就业服务。</w:t>
            </w:r>
            <w:r>
              <w:rPr>
                <w:rFonts w:hint="eastAsia" w:ascii="仿宋_GB2312" w:hAnsi="仿宋_GB2312" w:eastAsia="仿宋_GB2312" w:cs="仿宋_GB2312"/>
                <w:b w:val="0"/>
                <w:bCs w:val="0"/>
                <w:color w:val="000000" w:themeColor="text1"/>
                <w:sz w:val="24"/>
                <w:szCs w:val="24"/>
                <w14:textFill>
                  <w14:solidFill>
                    <w14:schemeClr w14:val="tx1"/>
                  </w14:solidFill>
                </w14:textFill>
              </w:rPr>
              <w:t>开展结对帮扶，建立“一</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人</w:t>
            </w:r>
            <w:r>
              <w:rPr>
                <w:rFonts w:hint="eastAsia" w:ascii="仿宋_GB2312" w:hAnsi="仿宋_GB2312" w:eastAsia="仿宋_GB2312" w:cs="仿宋_GB2312"/>
                <w:b w:val="0"/>
                <w:bCs w:val="0"/>
                <w:color w:val="000000" w:themeColor="text1"/>
                <w:sz w:val="24"/>
                <w:szCs w:val="24"/>
                <w14:textFill>
                  <w14:solidFill>
                    <w14:schemeClr w14:val="tx1"/>
                  </w14:solidFill>
                </w14:textFill>
              </w:rPr>
              <w:t>一策”服务档案。摸清残疾人毕业生就业意向、技能状况与服务需求，开展全链条就业服务，提高就业去向落实率。落实高校残疾人毕业生一次性求职补贴。</w:t>
            </w:r>
          </w:p>
          <w:p w14:paraId="39A1BE42">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4.</w:t>
            </w:r>
            <w:r>
              <w:rPr>
                <w:rFonts w:hint="eastAsia" w:ascii="黑体" w:hAnsi="黑体" w:eastAsia="黑体" w:cs="黑体"/>
                <w:b w:val="0"/>
                <w:bCs w:val="0"/>
                <w:color w:val="000000" w:themeColor="text1"/>
                <w:sz w:val="24"/>
                <w:szCs w:val="24"/>
                <w14:textFill>
                  <w14:solidFill>
                    <w14:schemeClr w14:val="tx1"/>
                  </w14:solidFill>
                </w14:textFill>
              </w:rPr>
              <w:t>盲人按摩提升项目。</w:t>
            </w:r>
            <w:r>
              <w:rPr>
                <w:rFonts w:hint="eastAsia" w:ascii="仿宋_GB2312" w:hAnsi="仿宋_GB2312" w:eastAsia="仿宋_GB2312" w:cs="仿宋_GB2312"/>
                <w:b w:val="0"/>
                <w:bCs w:val="0"/>
                <w:color w:val="000000" w:themeColor="text1"/>
                <w:sz w:val="24"/>
                <w:szCs w:val="24"/>
                <w14:textFill>
                  <w14:solidFill>
                    <w14:schemeClr w14:val="tx1"/>
                  </w14:solidFill>
                </w14:textFill>
              </w:rPr>
              <w:t>对符合条件的盲人按摩新开办机构、“齐鲁手创”品牌店给予补助。加强盲人按摩人才队伍建设。推动科技助盲，促进盲人多业态就业。支持盲人医疗按摩人员在社区卫生服务中心等医疗机构从业。</w:t>
            </w:r>
          </w:p>
          <w:p w14:paraId="14810B79">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vertAlign w:val="baseline"/>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5.</w:t>
            </w:r>
            <w:r>
              <w:rPr>
                <w:rFonts w:hint="eastAsia" w:ascii="黑体" w:hAnsi="黑体" w:eastAsia="黑体" w:cs="黑体"/>
                <w:b w:val="0"/>
                <w:bCs w:val="0"/>
                <w:color w:val="000000" w:themeColor="text1"/>
                <w:sz w:val="24"/>
                <w:szCs w:val="24"/>
                <w14:textFill>
                  <w14:solidFill>
                    <w14:schemeClr w14:val="tx1"/>
                  </w14:solidFill>
                </w14:textFill>
              </w:rPr>
              <w:t>残疾人就业补助。</w:t>
            </w:r>
            <w:r>
              <w:rPr>
                <w:rFonts w:hint="eastAsia" w:ascii="仿宋_GB2312" w:hAnsi="仿宋_GB2312" w:eastAsia="仿宋_GB2312" w:cs="仿宋_GB2312"/>
                <w:b w:val="0"/>
                <w:bCs w:val="0"/>
                <w:color w:val="000000" w:themeColor="text1"/>
                <w:sz w:val="24"/>
                <w:szCs w:val="24"/>
                <w14:textFill>
                  <w14:solidFill>
                    <w14:schemeClr w14:val="tx1"/>
                  </w14:solidFill>
                </w14:textFill>
              </w:rPr>
              <w:t>对开展残疾人职业技能培训和农村实用技术培训给予补助，对符合条件的残疾人职业培训基地、就业基地、创业孵化基地、辅助性就业机构、“文创工坊”“美丽工坊”“励志主播”、自主创业标兵等给予补助。</w:t>
            </w:r>
          </w:p>
        </w:tc>
      </w:tr>
    </w:tbl>
    <w:p w14:paraId="701C2987">
      <w:pPr>
        <w:keepNext w:val="0"/>
        <w:keepLines w:val="0"/>
        <w:pageBreakBefore w:val="0"/>
        <w:widowControl w:val="0"/>
        <w:kinsoku/>
        <w:wordWrap/>
        <w:overflowPunct w:val="0"/>
        <w:topLinePunct w:val="0"/>
        <w:autoSpaceDE w:val="0"/>
        <w:autoSpaceDN w:val="0"/>
        <w:bidi w:val="0"/>
        <w:adjustRightInd/>
        <w:snapToGrid/>
        <w:spacing w:line="560" w:lineRule="exact"/>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p>
    <w:p w14:paraId="0471A7A4">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14:textFill>
            <w14:solidFill>
              <w14:schemeClr w14:val="tx1"/>
            </w14:solidFill>
          </w14:textFill>
        </w:rPr>
        <w:t>（四）优化公共服务供给，改善残疾人融合发展条件</w:t>
      </w:r>
    </w:p>
    <w:p w14:paraId="5380EB84">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32"/>
          <w:szCs w:val="32"/>
          <w14:textFill>
            <w14:solidFill>
              <w14:schemeClr w14:val="tx1"/>
            </w14:solidFill>
          </w14:textFill>
        </w:rPr>
        <w:t>完善特殊教育办学体系。做好《山东省特殊教育条例》宣传贯彻落实。实施“十五五”特殊教育提质升级专项行动。全面落实学前至高中阶段十五年免费教育政策，落实残疾人子女就学资助，持续落地励志助学帮扶项目。支持普通中小学、职业院校、开放大学设立残疾人教学班、</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教</w:t>
      </w:r>
      <w:r>
        <w:rPr>
          <w:rFonts w:hint="eastAsia" w:ascii="仿宋_GB2312" w:hAnsi="仿宋_GB2312" w:eastAsia="仿宋_GB2312" w:cs="仿宋_GB2312"/>
          <w:b w:val="0"/>
          <w:bCs w:val="0"/>
          <w:color w:val="000000" w:themeColor="text1"/>
          <w:sz w:val="32"/>
          <w:szCs w:val="32"/>
          <w14:textFill>
            <w14:solidFill>
              <w14:schemeClr w14:val="tx1"/>
            </w14:solidFill>
          </w14:textFill>
        </w:rPr>
        <w:t>学部</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扩充高中阶段特殊教育办学资源。完善特教教师培养与继续教育机制，保障教师待遇。为残障考生参加国家教育考试、职业资格考试提供合理便利，</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落实</w:t>
      </w:r>
      <w:r>
        <w:rPr>
          <w:rFonts w:hint="eastAsia" w:ascii="仿宋_GB2312" w:hAnsi="仿宋_GB2312" w:eastAsia="仿宋_GB2312" w:cs="仿宋_GB2312"/>
          <w:b w:val="0"/>
          <w:bCs w:val="0"/>
          <w:color w:val="000000" w:themeColor="text1"/>
          <w:sz w:val="32"/>
          <w:szCs w:val="32"/>
          <w14:textFill>
            <w14:solidFill>
              <w14:schemeClr w14:val="tx1"/>
            </w14:solidFill>
          </w14:textFill>
        </w:rPr>
        <w:t>特殊教育单考单招相关</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政策</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0F69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060" w:type="dxa"/>
          </w:tcPr>
          <w:p w14:paraId="0669D239">
            <w:pPr>
              <w:keepNext w:val="0"/>
              <w:keepLines w:val="0"/>
              <w:pageBreakBefore w:val="0"/>
              <w:widowControl w:val="0"/>
              <w:kinsoku/>
              <w:wordWrap/>
              <w:overflowPunct w:val="0"/>
              <w:topLinePunct w:val="0"/>
              <w:autoSpaceDE w:val="0"/>
              <w:autoSpaceDN w:val="0"/>
              <w:bidi w:val="0"/>
              <w:adjustRightInd/>
              <w:snapToGrid/>
              <w:spacing w:line="560" w:lineRule="exact"/>
              <w:jc w:val="center"/>
              <w:textAlignment w:val="auto"/>
              <w:rPr>
                <w:rFonts w:hint="eastAsia" w:ascii="仿宋_GB2312" w:hAnsi="仿宋_GB2312" w:eastAsia="仿宋_GB2312" w:cs="仿宋_GB2312"/>
                <w:b w:val="0"/>
                <w:bCs w:val="0"/>
                <w:color w:val="000000" w:themeColor="text1"/>
                <w:sz w:val="28"/>
                <w:szCs w:val="28"/>
                <w:vertAlign w:val="baseline"/>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专栏</w:t>
            </w:r>
            <w:r>
              <w:rPr>
                <w:rFonts w:hint="eastAsia" w:ascii="黑体" w:hAnsi="黑体" w:eastAsia="黑体" w:cs="黑体"/>
                <w:b w:val="0"/>
                <w:bCs w:val="0"/>
                <w:color w:val="000000" w:themeColor="text1"/>
                <w:sz w:val="24"/>
                <w:szCs w:val="24"/>
                <w:lang w:val="en-US" w:eastAsia="zh-CN"/>
                <w14:textFill>
                  <w14:solidFill>
                    <w14:schemeClr w14:val="tx1"/>
                  </w14:solidFill>
                </w14:textFill>
              </w:rPr>
              <w:t>5</w:t>
            </w:r>
            <w:r>
              <w:rPr>
                <w:rFonts w:hint="eastAsia" w:ascii="黑体" w:hAnsi="黑体" w:eastAsia="黑体" w:cs="黑体"/>
                <w:b w:val="0"/>
                <w:bCs w:val="0"/>
                <w:color w:val="000000" w:themeColor="text1"/>
                <w:sz w:val="24"/>
                <w:szCs w:val="24"/>
                <w14:textFill>
                  <w14:solidFill>
                    <w14:schemeClr w14:val="tx1"/>
                  </w14:solidFill>
                </w14:textFill>
              </w:rPr>
              <w:t>：残疾人教育</w:t>
            </w:r>
          </w:p>
        </w:tc>
      </w:tr>
      <w:tr w14:paraId="18CB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2D5206A4">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1.</w:t>
            </w:r>
            <w:r>
              <w:rPr>
                <w:rFonts w:hint="eastAsia" w:ascii="黑体" w:hAnsi="黑体" w:eastAsia="黑体" w:cs="黑体"/>
                <w:b w:val="0"/>
                <w:bCs w:val="0"/>
                <w:color w:val="000000" w:themeColor="text1"/>
                <w:sz w:val="24"/>
                <w:szCs w:val="24"/>
                <w14:textFill>
                  <w14:solidFill>
                    <w14:schemeClr w14:val="tx1"/>
                  </w14:solidFill>
                </w14:textFill>
              </w:rPr>
              <w:t>特殊教育资源中心和资源教室建设。</w:t>
            </w:r>
            <w:r>
              <w:rPr>
                <w:rFonts w:hint="eastAsia" w:ascii="仿宋_GB2312" w:hAnsi="仿宋_GB2312" w:eastAsia="仿宋_GB2312" w:cs="仿宋_GB2312"/>
                <w:b w:val="0"/>
                <w:bCs w:val="0"/>
                <w:color w:val="000000" w:themeColor="text1"/>
                <w:sz w:val="24"/>
                <w:szCs w:val="24"/>
                <w14:textFill>
                  <w14:solidFill>
                    <w14:schemeClr w14:val="tx1"/>
                  </w14:solidFill>
                </w14:textFill>
              </w:rPr>
              <w:t>加快建设</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区市</w:t>
            </w:r>
            <w:r>
              <w:rPr>
                <w:rFonts w:hint="eastAsia" w:ascii="仿宋_GB2312" w:hAnsi="仿宋_GB2312" w:eastAsia="仿宋_GB2312" w:cs="仿宋_GB2312"/>
                <w:b w:val="0"/>
                <w:bCs w:val="0"/>
                <w:color w:val="000000" w:themeColor="text1"/>
                <w:sz w:val="24"/>
                <w:szCs w:val="24"/>
                <w14:textFill>
                  <w14:solidFill>
                    <w14:schemeClr w14:val="tx1"/>
                  </w14:solidFill>
                </w14:textFill>
              </w:rPr>
              <w:t>特殊教育资源中心，完善资源教室布局。</w:t>
            </w:r>
          </w:p>
          <w:p w14:paraId="4D5366B9">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2.</w:t>
            </w:r>
            <w:r>
              <w:rPr>
                <w:rFonts w:hint="eastAsia" w:ascii="黑体" w:hAnsi="黑体" w:eastAsia="黑体" w:cs="黑体"/>
                <w:b w:val="0"/>
                <w:bCs w:val="0"/>
                <w:color w:val="000000" w:themeColor="text1"/>
                <w:sz w:val="24"/>
                <w:szCs w:val="24"/>
                <w14:textFill>
                  <w14:solidFill>
                    <w14:schemeClr w14:val="tx1"/>
                  </w14:solidFill>
                </w14:textFill>
              </w:rPr>
              <w:t>特殊教育学校标准化建设工程。</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推动区市</w:t>
            </w:r>
            <w:r>
              <w:rPr>
                <w:rFonts w:hint="eastAsia" w:ascii="仿宋_GB2312" w:hAnsi="仿宋_GB2312" w:eastAsia="仿宋_GB2312" w:cs="仿宋_GB2312"/>
                <w:b w:val="0"/>
                <w:bCs w:val="0"/>
                <w:color w:val="000000" w:themeColor="text1"/>
                <w:sz w:val="24"/>
                <w:szCs w:val="24"/>
                <w14:textFill>
                  <w14:solidFill>
                    <w14:schemeClr w14:val="tx1"/>
                  </w14:solidFill>
                </w14:textFill>
              </w:rPr>
              <w:t>特殊教育学校建设。</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探索</w:t>
            </w:r>
            <w:r>
              <w:rPr>
                <w:rFonts w:hint="eastAsia" w:ascii="仿宋_GB2312" w:hAnsi="仿宋_GB2312" w:eastAsia="仿宋_GB2312" w:cs="仿宋_GB2312"/>
                <w:b w:val="0"/>
                <w:bCs w:val="0"/>
                <w:color w:val="000000" w:themeColor="text1"/>
                <w:sz w:val="24"/>
                <w:szCs w:val="24"/>
                <w14:textFill>
                  <w14:solidFill>
                    <w14:schemeClr w14:val="tx1"/>
                  </w14:solidFill>
                </w14:textFill>
              </w:rPr>
              <w:t>建设十五年一贯制特殊教育学校，至少设立一个残疾人中等职业教育部（班）。</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市级应当</w:t>
            </w:r>
            <w:r>
              <w:rPr>
                <w:rFonts w:hint="eastAsia" w:ascii="仿宋_GB2312" w:hAnsi="仿宋_GB2312" w:eastAsia="仿宋_GB2312" w:cs="仿宋_GB2312"/>
                <w:b w:val="0"/>
                <w:bCs w:val="0"/>
                <w:color w:val="000000" w:themeColor="text1"/>
                <w:sz w:val="24"/>
                <w:szCs w:val="24"/>
                <w14:textFill>
                  <w14:solidFill>
                    <w14:schemeClr w14:val="tx1"/>
                  </w14:solidFill>
                </w14:textFill>
              </w:rPr>
              <w:t>建设一所孤独症儿童特殊教育学校，或者依托现有特殊教育学校设置孤独症儿童特殊教育部。</w:t>
            </w:r>
          </w:p>
          <w:p w14:paraId="126EDF08">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3.</w:t>
            </w:r>
            <w:r>
              <w:rPr>
                <w:rFonts w:hint="eastAsia" w:ascii="黑体" w:hAnsi="黑体" w:eastAsia="黑体" w:cs="黑体"/>
                <w:b w:val="0"/>
                <w:bCs w:val="0"/>
                <w:color w:val="000000" w:themeColor="text1"/>
                <w:sz w:val="24"/>
                <w:szCs w:val="24"/>
                <w14:textFill>
                  <w14:solidFill>
                    <w14:schemeClr w14:val="tx1"/>
                  </w14:solidFill>
                </w14:textFill>
              </w:rPr>
              <w:t>智慧校园和无障碍校园工程。</w:t>
            </w:r>
            <w:r>
              <w:rPr>
                <w:rFonts w:hint="eastAsia" w:ascii="仿宋_GB2312" w:hAnsi="仿宋_GB2312" w:eastAsia="仿宋_GB2312" w:cs="仿宋_GB2312"/>
                <w:b w:val="0"/>
                <w:bCs w:val="0"/>
                <w:color w:val="000000" w:themeColor="text1"/>
                <w:sz w:val="24"/>
                <w:szCs w:val="24"/>
                <w14:textFill>
                  <w14:solidFill>
                    <w14:schemeClr w14:val="tx1"/>
                  </w14:solidFill>
                </w14:textFill>
              </w:rPr>
              <w:t>推进智慧校园、智慧教室建设，推动人工智能等技术融入特殊教育全过程。优先对特殊教育学校和其他从事特殊教育的机构进行无障碍环境建设和改造；其他各级各类学校应当加强无障碍环境建设和改造，为特殊需要学生提供便利服务。</w:t>
            </w:r>
          </w:p>
          <w:p w14:paraId="2A4DDEE7">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8"/>
                <w:szCs w:val="28"/>
                <w:vertAlign w:val="baseline"/>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4.</w:t>
            </w:r>
            <w:r>
              <w:rPr>
                <w:rFonts w:hint="eastAsia" w:ascii="黑体" w:hAnsi="黑体" w:eastAsia="黑体" w:cs="黑体"/>
                <w:b w:val="0"/>
                <w:bCs w:val="0"/>
                <w:color w:val="000000" w:themeColor="text1"/>
                <w:sz w:val="24"/>
                <w:szCs w:val="24"/>
                <w14:textFill>
                  <w14:solidFill>
                    <w14:schemeClr w14:val="tx1"/>
                  </w14:solidFill>
                </w14:textFill>
              </w:rPr>
              <w:t>国家通用手语和国家通用盲文推广项目。</w:t>
            </w:r>
            <w:r>
              <w:rPr>
                <w:rFonts w:hint="eastAsia" w:ascii="仿宋_GB2312" w:hAnsi="仿宋_GB2312" w:eastAsia="仿宋_GB2312" w:cs="仿宋_GB2312"/>
                <w:b w:val="0"/>
                <w:bCs w:val="0"/>
                <w:color w:val="000000" w:themeColor="text1"/>
                <w:sz w:val="24"/>
                <w:szCs w:val="24"/>
                <w14:textFill>
                  <w14:solidFill>
                    <w14:schemeClr w14:val="tx1"/>
                  </w14:solidFill>
                </w14:textFill>
              </w:rPr>
              <w:t>鼓励各地聋协、盲协会同特殊教育学校（院）建设专业化的手语或盲文志愿服务队伍，打造一批有影响力的服务项目。</w:t>
            </w:r>
          </w:p>
        </w:tc>
      </w:tr>
    </w:tbl>
    <w:p w14:paraId="07A05F06">
      <w:pPr>
        <w:keepNext w:val="0"/>
        <w:keepLines w:val="0"/>
        <w:pageBreakBefore w:val="0"/>
        <w:widowControl w:val="0"/>
        <w:kinsoku/>
        <w:wordWrap/>
        <w:overflowPunct w:val="0"/>
        <w:topLinePunct w:val="0"/>
        <w:autoSpaceDE w:val="0"/>
        <w:autoSpaceDN w:val="0"/>
        <w:bidi w:val="0"/>
        <w:adjustRightInd/>
        <w:snapToGrid/>
        <w:spacing w:line="560" w:lineRule="exact"/>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p>
    <w:p w14:paraId="7AD7C3D0">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14:textFill>
            <w14:solidFill>
              <w14:schemeClr w14:val="tx1"/>
            </w14:solidFill>
          </w14:textFill>
        </w:rPr>
        <w:t>丰富残疾人精神文化生活。将残疾人文化服务融入公共文化服务体系，推动</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全市各类</w:t>
      </w:r>
      <w:r>
        <w:rPr>
          <w:rFonts w:hint="eastAsia" w:ascii="仿宋_GB2312" w:hAnsi="仿宋_GB2312" w:eastAsia="仿宋_GB2312" w:cs="仿宋_GB2312"/>
          <w:b w:val="0"/>
          <w:bCs w:val="0"/>
          <w:color w:val="000000" w:themeColor="text1"/>
          <w:sz w:val="32"/>
          <w:szCs w:val="32"/>
          <w14:textFill>
            <w14:solidFill>
              <w14:schemeClr w14:val="tx1"/>
            </w14:solidFill>
          </w14:textFill>
        </w:rPr>
        <w:t>公共文化</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旅游场所优惠为</w:t>
      </w:r>
      <w:r>
        <w:rPr>
          <w:rFonts w:hint="eastAsia" w:ascii="仿宋_GB2312" w:hAnsi="仿宋_GB2312" w:eastAsia="仿宋_GB2312" w:cs="仿宋_GB2312"/>
          <w:b w:val="0"/>
          <w:bCs w:val="0"/>
          <w:color w:val="000000" w:themeColor="text1"/>
          <w:sz w:val="32"/>
          <w:szCs w:val="32"/>
          <w14:textFill>
            <w14:solidFill>
              <w14:schemeClr w14:val="tx1"/>
            </w14:solidFill>
          </w14:textFill>
        </w:rPr>
        <w:t>残疾人</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提供服务</w:t>
      </w:r>
      <w:r>
        <w:rPr>
          <w:rFonts w:hint="eastAsia" w:ascii="仿宋_GB2312" w:hAnsi="仿宋_GB2312" w:eastAsia="仿宋_GB2312" w:cs="仿宋_GB2312"/>
          <w:b w:val="0"/>
          <w:bCs w:val="0"/>
          <w:color w:val="000000" w:themeColor="text1"/>
          <w:sz w:val="32"/>
          <w:szCs w:val="32"/>
          <w14:textFill>
            <w14:solidFill>
              <w14:schemeClr w14:val="tx1"/>
            </w14:solidFill>
          </w14:textFill>
        </w:rPr>
        <w:t>，优质资源向基层和农村倾斜，建强残健融合服务阵地。深入开展文化进残疾人家庭、进社区服务。广泛开展残疾人文化周和“一县一品”群众性文化活动。积极开展“齐鲁融阅”全民阅读活动，保障残疾人阅读权益。持续做好广播电视无障碍节目与作品供给。举办烟台市第十一届残疾人艺术汇演，参加山东省第十二届残疾人艺术汇演。</w:t>
      </w:r>
    </w:p>
    <w:p w14:paraId="528019FC">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3.培育</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提升</w:t>
      </w:r>
      <w:r>
        <w:rPr>
          <w:rFonts w:hint="eastAsia" w:ascii="仿宋_GB2312" w:hAnsi="仿宋_GB2312" w:eastAsia="仿宋_GB2312" w:cs="仿宋_GB2312"/>
          <w:b w:val="0"/>
          <w:bCs w:val="0"/>
          <w:color w:val="000000" w:themeColor="text1"/>
          <w:sz w:val="32"/>
          <w:szCs w:val="32"/>
          <w14:textFill>
            <w14:solidFill>
              <w14:schemeClr w14:val="tx1"/>
            </w14:solidFill>
          </w14:textFill>
        </w:rPr>
        <w:t>残疾人文化产业。鼓励创作残疾人题材文艺作品，</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支持残疾人艺术发展，培育特殊艺术人才，</w:t>
      </w:r>
      <w:r>
        <w:rPr>
          <w:rFonts w:hint="eastAsia" w:ascii="仿宋_GB2312" w:hAnsi="仿宋_GB2312" w:eastAsia="仿宋_GB2312" w:cs="仿宋_GB2312"/>
          <w:b w:val="0"/>
          <w:bCs w:val="0"/>
          <w:color w:val="000000" w:themeColor="text1"/>
          <w:sz w:val="32"/>
          <w:szCs w:val="32"/>
          <w14:textFill>
            <w14:solidFill>
              <w14:schemeClr w14:val="tx1"/>
            </w14:solidFill>
          </w14:textFill>
        </w:rPr>
        <w:t>积极参加省内外各类文化题材创作及展览。扶持残疾人非遗技艺传承和文创产业，培育一批非遗工坊带头人和文创实体。搭建残疾人文艺作品和非遗技艺交流展示平台。打造“品重烟台·有爱无碍”残疾人文体品牌。</w:t>
      </w:r>
    </w:p>
    <w:p w14:paraId="6969312A">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4.组织</w:t>
      </w:r>
      <w:r>
        <w:rPr>
          <w:rFonts w:hint="eastAsia" w:ascii="仿宋_GB2312" w:hAnsi="仿宋_GB2312" w:eastAsia="仿宋_GB2312" w:cs="仿宋_GB2312"/>
          <w:b w:val="0"/>
          <w:bCs w:val="0"/>
          <w:color w:val="000000" w:themeColor="text1"/>
          <w:sz w:val="32"/>
          <w:szCs w:val="32"/>
          <w14:textFill>
            <w14:solidFill>
              <w14:schemeClr w14:val="tx1"/>
            </w14:solidFill>
          </w14:textFill>
        </w:rPr>
        <w:t>残疾人群众</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性</w:t>
      </w:r>
      <w:r>
        <w:rPr>
          <w:rFonts w:hint="eastAsia" w:ascii="仿宋_GB2312" w:hAnsi="仿宋_GB2312" w:eastAsia="仿宋_GB2312" w:cs="仿宋_GB2312"/>
          <w:b w:val="0"/>
          <w:bCs w:val="0"/>
          <w:color w:val="000000" w:themeColor="text1"/>
          <w:sz w:val="32"/>
          <w:szCs w:val="32"/>
          <w14:textFill>
            <w14:solidFill>
              <w14:schemeClr w14:val="tx1"/>
            </w14:solidFill>
          </w14:textFill>
        </w:rPr>
        <w:t>体育</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活动</w:t>
      </w:r>
      <w:r>
        <w:rPr>
          <w:rFonts w:hint="eastAsia" w:ascii="仿宋_GB2312" w:hAnsi="仿宋_GB2312" w:eastAsia="仿宋_GB2312" w:cs="仿宋_GB2312"/>
          <w:b w:val="0"/>
          <w:bCs w:val="0"/>
          <w:color w:val="000000" w:themeColor="text1"/>
          <w:sz w:val="32"/>
          <w:szCs w:val="32"/>
          <w14:textFill>
            <w14:solidFill>
              <w14:schemeClr w14:val="tx1"/>
            </w14:solidFill>
          </w14:textFill>
        </w:rPr>
        <w:t>。大力发展残疾人体育运动，</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落实</w:t>
      </w:r>
      <w:r>
        <w:rPr>
          <w:rFonts w:hint="eastAsia" w:ascii="仿宋_GB2312" w:hAnsi="仿宋_GB2312" w:eastAsia="仿宋_GB2312" w:cs="仿宋_GB2312"/>
          <w:b w:val="0"/>
          <w:bCs w:val="0"/>
          <w:color w:val="000000" w:themeColor="text1"/>
          <w:sz w:val="32"/>
          <w:szCs w:val="32"/>
          <w14:textFill>
            <w14:solidFill>
              <w14:schemeClr w14:val="tx1"/>
            </w14:solidFill>
          </w14:textFill>
        </w:rPr>
        <w:t>全民健身国家战略，积极实施残疾人乐享健身行动。依托基层体育设施，就近就便开展残疾人健身活动，推广普及健身项目。发挥“残疾人健身周”“残疾人冰雪运动季”等品牌效应，鼓励残疾人积极参加体育健身行动。鼓励康复健身体育进家庭、进社区、进机构，提升运动促进</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残疾人</w:t>
      </w:r>
      <w:r>
        <w:rPr>
          <w:rFonts w:hint="eastAsia" w:ascii="仿宋_GB2312" w:hAnsi="仿宋_GB2312" w:eastAsia="仿宋_GB2312" w:cs="仿宋_GB2312"/>
          <w:b w:val="0"/>
          <w:bCs w:val="0"/>
          <w:color w:val="000000" w:themeColor="text1"/>
          <w:sz w:val="32"/>
          <w:szCs w:val="32"/>
          <w14:textFill>
            <w14:solidFill>
              <w14:schemeClr w14:val="tx1"/>
            </w14:solidFill>
          </w14:textFill>
        </w:rPr>
        <w:t>健康</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的</w:t>
      </w:r>
      <w:r>
        <w:rPr>
          <w:rFonts w:hint="eastAsia" w:ascii="仿宋_GB2312" w:hAnsi="仿宋_GB2312" w:eastAsia="仿宋_GB2312" w:cs="仿宋_GB2312"/>
          <w:b w:val="0"/>
          <w:bCs w:val="0"/>
          <w:color w:val="000000" w:themeColor="text1"/>
          <w:sz w:val="32"/>
          <w:szCs w:val="32"/>
          <w14:textFill>
            <w14:solidFill>
              <w14:schemeClr w14:val="tx1"/>
            </w14:solidFill>
          </w14:textFill>
        </w:rPr>
        <w:t>服务水平。</w:t>
      </w:r>
    </w:p>
    <w:p w14:paraId="37D8DD78">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sz w:val="32"/>
          <w:szCs w:val="32"/>
          <w14:textFill>
            <w14:solidFill>
              <w14:schemeClr w14:val="tx1"/>
            </w14:solidFill>
          </w14:textFill>
        </w:rPr>
        <w:t>提升残疾人竞技体育水平。巩固残疾人田径等传统优势项目基本盘，加强残疾人游泳、篮球、排球、乒乓球、盲人柔道等项目建设、训练备战和管理保障，</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为省和国家输送后备人才</w:t>
      </w:r>
      <w:r>
        <w:rPr>
          <w:rFonts w:hint="eastAsia" w:ascii="仿宋_GB2312" w:hAnsi="仿宋_GB2312" w:eastAsia="仿宋_GB2312" w:cs="仿宋_GB2312"/>
          <w:b w:val="0"/>
          <w:bCs w:val="0"/>
          <w:color w:val="000000" w:themeColor="text1"/>
          <w:sz w:val="32"/>
          <w:szCs w:val="32"/>
          <w14:textFill>
            <w14:solidFill>
              <w14:schemeClr w14:val="tx1"/>
            </w14:solidFill>
          </w14:textFill>
        </w:rPr>
        <w:t>。发挥残疾人体育训练机构作用，</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开展</w:t>
      </w:r>
      <w:r>
        <w:rPr>
          <w:rFonts w:hint="eastAsia" w:ascii="仿宋_GB2312" w:hAnsi="仿宋_GB2312" w:eastAsia="仿宋_GB2312" w:cs="仿宋_GB2312"/>
          <w:b w:val="0"/>
          <w:bCs w:val="0"/>
          <w:color w:val="000000" w:themeColor="text1"/>
          <w:sz w:val="32"/>
          <w:szCs w:val="32"/>
          <w14:textFill>
            <w14:solidFill>
              <w14:schemeClr w14:val="tx1"/>
            </w14:solidFill>
          </w14:textFill>
        </w:rPr>
        <w:t>残疾青少年选拔和竞技人才培养。积极备战山东省第十三届残疾人运动会暨第二届特殊奥林匹克运动会。加强教练员、裁判员等专业队伍建设，提升科学训练与综合保障水平。</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8C2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294E886">
            <w:pPr>
              <w:keepNext w:val="0"/>
              <w:keepLines w:val="0"/>
              <w:pageBreakBefore w:val="0"/>
              <w:widowControl w:val="0"/>
              <w:kinsoku/>
              <w:wordWrap/>
              <w:overflowPunct w:val="0"/>
              <w:topLinePunct w:val="0"/>
              <w:autoSpaceDE w:val="0"/>
              <w:autoSpaceDN w:val="0"/>
              <w:bidi w:val="0"/>
              <w:adjustRightInd/>
              <w:snapToGrid/>
              <w:spacing w:line="560" w:lineRule="exact"/>
              <w:jc w:val="center"/>
              <w:textAlignment w:val="auto"/>
              <w:rPr>
                <w:rFonts w:hint="eastAsia" w:ascii="楷体_GB2312" w:hAnsi="楷体_GB2312" w:eastAsia="楷体_GB2312" w:cs="楷体_GB2312"/>
                <w:b w:val="0"/>
                <w:bCs w:val="0"/>
                <w:color w:val="000000" w:themeColor="text1"/>
                <w:sz w:val="28"/>
                <w:szCs w:val="28"/>
                <w:vertAlign w:val="baseline"/>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专栏</w:t>
            </w:r>
            <w:r>
              <w:rPr>
                <w:rFonts w:hint="eastAsia" w:ascii="黑体" w:hAnsi="黑体" w:eastAsia="黑体" w:cs="黑体"/>
                <w:b w:val="0"/>
                <w:bCs w:val="0"/>
                <w:color w:val="000000" w:themeColor="text1"/>
                <w:sz w:val="24"/>
                <w:szCs w:val="24"/>
                <w:lang w:val="en-US" w:eastAsia="zh-CN"/>
                <w14:textFill>
                  <w14:solidFill>
                    <w14:schemeClr w14:val="tx1"/>
                  </w14:solidFill>
                </w14:textFill>
              </w:rPr>
              <w:t>6</w:t>
            </w:r>
            <w:r>
              <w:rPr>
                <w:rFonts w:hint="eastAsia" w:ascii="黑体" w:hAnsi="黑体" w:eastAsia="黑体" w:cs="黑体"/>
                <w:b w:val="0"/>
                <w:bCs w:val="0"/>
                <w:color w:val="000000" w:themeColor="text1"/>
                <w:sz w:val="24"/>
                <w:szCs w:val="24"/>
                <w14:textFill>
                  <w14:solidFill>
                    <w14:schemeClr w14:val="tx1"/>
                  </w14:solidFill>
                </w14:textFill>
              </w:rPr>
              <w:t>：残疾人文化体育服务</w:t>
            </w:r>
          </w:p>
        </w:tc>
      </w:tr>
      <w:tr w14:paraId="07C0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3B97E3B">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1.</w:t>
            </w:r>
            <w:r>
              <w:rPr>
                <w:rFonts w:hint="eastAsia" w:ascii="黑体" w:hAnsi="黑体" w:eastAsia="黑体" w:cs="黑体"/>
                <w:b w:val="0"/>
                <w:bCs w:val="0"/>
                <w:color w:val="000000" w:themeColor="text1"/>
                <w:sz w:val="24"/>
                <w:szCs w:val="24"/>
                <w14:textFill>
                  <w14:solidFill>
                    <w14:schemeClr w14:val="tx1"/>
                  </w14:solidFill>
                </w14:textFill>
              </w:rPr>
              <w:t>文化服务提质扩面。</w:t>
            </w:r>
            <w:r>
              <w:rPr>
                <w:rFonts w:hint="eastAsia" w:ascii="仿宋_GB2312" w:hAnsi="仿宋_GB2312" w:eastAsia="仿宋_GB2312" w:cs="仿宋_GB2312"/>
                <w:b w:val="0"/>
                <w:bCs w:val="0"/>
                <w:color w:val="000000" w:themeColor="text1"/>
                <w:sz w:val="24"/>
                <w:szCs w:val="24"/>
                <w14:textFill>
                  <w14:solidFill>
                    <w14:schemeClr w14:val="tx1"/>
                  </w14:solidFill>
                </w14:textFill>
              </w:rPr>
              <w:t>为重度残疾人提供“读一本书、游一次园、看一场电影、参观一次展览、参加一次文化活动”服务。支持“一县一品”残疾人文化品牌建设。</w:t>
            </w:r>
          </w:p>
          <w:p w14:paraId="42BB83E0">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2.</w:t>
            </w:r>
            <w:r>
              <w:rPr>
                <w:rFonts w:hint="eastAsia" w:ascii="黑体" w:hAnsi="黑体" w:eastAsia="黑体" w:cs="黑体"/>
                <w:b w:val="0"/>
                <w:bCs w:val="0"/>
                <w:color w:val="000000" w:themeColor="text1"/>
                <w:sz w:val="24"/>
                <w:szCs w:val="24"/>
                <w14:textFill>
                  <w14:solidFill>
                    <w14:schemeClr w14:val="tx1"/>
                  </w14:solidFill>
                </w14:textFill>
              </w:rPr>
              <w:t>“齐鲁融阅”视听阅读无障碍。</w:t>
            </w:r>
            <w:r>
              <w:rPr>
                <w:rFonts w:hint="eastAsia" w:ascii="仿宋_GB2312" w:hAnsi="仿宋_GB2312" w:eastAsia="仿宋_GB2312" w:cs="仿宋_GB2312"/>
                <w:b w:val="0"/>
                <w:bCs w:val="0"/>
                <w:color w:val="000000" w:themeColor="text1"/>
                <w:sz w:val="24"/>
                <w:szCs w:val="24"/>
                <w14:textFill>
                  <w14:solidFill>
                    <w14:schemeClr w14:val="tx1"/>
                  </w14:solidFill>
                </w14:textFill>
              </w:rPr>
              <w:t>加强盲人阅览室资源建设，丰富盲文、有声读物、大字读物供给。开展“聆听光影”等无障碍阅读观影活动。</w:t>
            </w:r>
          </w:p>
          <w:p w14:paraId="25C94294">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3.</w:t>
            </w:r>
            <w:r>
              <w:rPr>
                <w:rFonts w:hint="eastAsia" w:ascii="黑体" w:hAnsi="黑体" w:eastAsia="黑体" w:cs="黑体"/>
                <w:b w:val="0"/>
                <w:bCs w:val="0"/>
                <w:color w:val="000000" w:themeColor="text1"/>
                <w:sz w:val="24"/>
                <w:szCs w:val="24"/>
                <w14:textFill>
                  <w14:solidFill>
                    <w14:schemeClr w14:val="tx1"/>
                  </w14:solidFill>
                </w14:textFill>
              </w:rPr>
              <w:t>特殊艺术扶持与文创产业发展。</w:t>
            </w:r>
            <w:r>
              <w:rPr>
                <w:rFonts w:hint="eastAsia" w:ascii="仿宋_GB2312" w:hAnsi="仿宋_GB2312" w:eastAsia="仿宋_GB2312" w:cs="仿宋_GB2312"/>
                <w:b w:val="0"/>
                <w:bCs w:val="0"/>
                <w:color w:val="000000" w:themeColor="text1"/>
                <w:sz w:val="24"/>
                <w:szCs w:val="24"/>
                <w:lang w:eastAsia="zh-CN"/>
                <w14:textFill>
                  <w14:solidFill>
                    <w14:schemeClr w14:val="tx1"/>
                  </w14:solidFill>
                </w14:textFill>
              </w:rPr>
              <w:t>支持</w:t>
            </w:r>
            <w:r>
              <w:rPr>
                <w:rFonts w:hint="eastAsia" w:ascii="仿宋_GB2312" w:hAnsi="仿宋_GB2312" w:eastAsia="仿宋_GB2312" w:cs="仿宋_GB2312"/>
                <w:b w:val="0"/>
                <w:bCs w:val="0"/>
                <w:color w:val="000000" w:themeColor="text1"/>
                <w:sz w:val="24"/>
                <w:szCs w:val="24"/>
                <w14:textFill>
                  <w14:solidFill>
                    <w14:schemeClr w14:val="tx1"/>
                  </w14:solidFill>
                </w14:textFill>
              </w:rPr>
              <w:t>残疾人舞台艺术精品创作，举办全市残疾人艺术汇演。</w:t>
            </w:r>
            <w:r>
              <w:rPr>
                <w:rFonts w:hint="eastAsia" w:ascii="仿宋_GB2312" w:hAnsi="仿宋_GB2312" w:eastAsia="仿宋_GB2312" w:cs="仿宋_GB2312"/>
                <w:b w:val="0"/>
                <w:bCs w:val="0"/>
                <w:color w:val="000000" w:themeColor="text1"/>
                <w:sz w:val="24"/>
                <w:szCs w:val="24"/>
                <w:lang w:eastAsia="zh-CN"/>
                <w14:textFill>
                  <w14:solidFill>
                    <w14:schemeClr w14:val="tx1"/>
                  </w14:solidFill>
                </w14:textFill>
              </w:rPr>
              <w:t>落实</w:t>
            </w:r>
            <w:r>
              <w:rPr>
                <w:rFonts w:hint="eastAsia" w:ascii="仿宋_GB2312" w:hAnsi="仿宋_GB2312" w:eastAsia="仿宋_GB2312" w:cs="仿宋_GB2312"/>
                <w:b w:val="0"/>
                <w:bCs w:val="0"/>
                <w:color w:val="000000" w:themeColor="text1"/>
                <w:sz w:val="24"/>
                <w:szCs w:val="24"/>
                <w14:textFill>
                  <w14:solidFill>
                    <w14:schemeClr w14:val="tx1"/>
                  </w14:solidFill>
                </w14:textFill>
              </w:rPr>
              <w:t>残疾人文创产业扶持</w:t>
            </w:r>
            <w:r>
              <w:rPr>
                <w:rFonts w:hint="eastAsia" w:ascii="仿宋_GB2312" w:hAnsi="仿宋_GB2312" w:eastAsia="仿宋_GB2312" w:cs="仿宋_GB2312"/>
                <w:b w:val="0"/>
                <w:bCs w:val="0"/>
                <w:color w:val="000000" w:themeColor="text1"/>
                <w:sz w:val="24"/>
                <w:szCs w:val="24"/>
                <w:lang w:eastAsia="zh-CN"/>
                <w14:textFill>
                  <w14:solidFill>
                    <w14:schemeClr w14:val="tx1"/>
                  </w14:solidFill>
                </w14:textFill>
              </w:rPr>
              <w:t>政策</w:t>
            </w:r>
            <w:r>
              <w:rPr>
                <w:rFonts w:hint="eastAsia" w:ascii="仿宋_GB2312" w:hAnsi="仿宋_GB2312" w:eastAsia="仿宋_GB2312" w:cs="仿宋_GB2312"/>
                <w:b w:val="0"/>
                <w:bCs w:val="0"/>
                <w:color w:val="000000" w:themeColor="text1"/>
                <w:sz w:val="24"/>
                <w:szCs w:val="24"/>
                <w14:textFill>
                  <w14:solidFill>
                    <w14:schemeClr w14:val="tx1"/>
                  </w14:solidFill>
                </w14:textFill>
              </w:rPr>
              <w:t>，培育非遗工坊带头人和文创实体。</w:t>
            </w:r>
          </w:p>
          <w:p w14:paraId="25CC1FA8">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楷体_GB2312" w:hAnsi="楷体_GB2312" w:eastAsia="楷体_GB2312" w:cs="楷体_GB2312"/>
                <w:b w:val="0"/>
                <w:bCs w:val="0"/>
                <w:color w:val="000000" w:themeColor="text1"/>
                <w:sz w:val="28"/>
                <w:szCs w:val="28"/>
                <w:vertAlign w:val="baseline"/>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4.</w:t>
            </w:r>
            <w:r>
              <w:rPr>
                <w:rFonts w:hint="eastAsia" w:ascii="黑体" w:hAnsi="黑体" w:eastAsia="黑体" w:cs="黑体"/>
                <w:b w:val="0"/>
                <w:bCs w:val="0"/>
                <w:color w:val="000000" w:themeColor="text1"/>
                <w:sz w:val="24"/>
                <w:szCs w:val="24"/>
                <w14:textFill>
                  <w14:solidFill>
                    <w14:schemeClr w14:val="tx1"/>
                  </w14:solidFill>
                </w14:textFill>
              </w:rPr>
              <w:t>残疾人乐享体育健身行动。</w:t>
            </w:r>
            <w:r>
              <w:rPr>
                <w:rFonts w:hint="eastAsia" w:ascii="仿宋_GB2312" w:hAnsi="仿宋_GB2312" w:eastAsia="仿宋_GB2312" w:cs="仿宋_GB2312"/>
                <w:b w:val="0"/>
                <w:bCs w:val="0"/>
                <w:color w:val="000000" w:themeColor="text1"/>
                <w:sz w:val="24"/>
                <w:szCs w:val="24"/>
                <w14:textFill>
                  <w14:solidFill>
                    <w14:schemeClr w14:val="tx1"/>
                  </w14:solidFill>
                </w14:textFill>
              </w:rPr>
              <w:t>推动残疾人健身体育进社区、进校园、进服务机构。组织残疾人健身周、冰雪运动季、全国特奥日等系列活动，扩大康复体育进家庭覆盖面。</w:t>
            </w:r>
          </w:p>
        </w:tc>
      </w:tr>
    </w:tbl>
    <w:p w14:paraId="5E3E8279">
      <w:pPr>
        <w:keepNext w:val="0"/>
        <w:keepLines w:val="0"/>
        <w:pageBreakBefore w:val="0"/>
        <w:widowControl w:val="0"/>
        <w:kinsoku/>
        <w:wordWrap/>
        <w:overflowPunct w:val="0"/>
        <w:topLinePunct w:val="0"/>
        <w:autoSpaceDE w:val="0"/>
        <w:autoSpaceDN w:val="0"/>
        <w:bidi w:val="0"/>
        <w:adjustRightInd/>
        <w:snapToGrid/>
        <w:spacing w:line="560" w:lineRule="exact"/>
        <w:ind w:firstLine="560" w:firstLineChars="200"/>
        <w:textAlignment w:val="auto"/>
        <w:rPr>
          <w:rFonts w:hint="eastAsia" w:ascii="楷体_GB2312" w:hAnsi="楷体_GB2312" w:eastAsia="楷体_GB2312" w:cs="楷体_GB2312"/>
          <w:b w:val="0"/>
          <w:bCs w:val="0"/>
          <w:color w:val="000000" w:themeColor="text1"/>
          <w:sz w:val="28"/>
          <w:szCs w:val="28"/>
          <w14:textFill>
            <w14:solidFill>
              <w14:schemeClr w14:val="tx1"/>
            </w14:solidFill>
          </w14:textFill>
        </w:rPr>
      </w:pPr>
    </w:p>
    <w:p w14:paraId="6021ACE7">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14:textFill>
            <w14:solidFill>
              <w14:schemeClr w14:val="tx1"/>
            </w14:solidFill>
          </w14:textFill>
        </w:rPr>
        <w:t>（五）强化权益法治保障，营造残疾人平等参与氛围</w:t>
      </w:r>
    </w:p>
    <w:p w14:paraId="4CF71E77">
      <w:pPr>
        <w:pStyle w:val="9"/>
        <w:keepNext w:val="0"/>
        <w:keepLines w:val="0"/>
        <w:pageBreakBefore w:val="0"/>
        <w:widowControl w:val="0"/>
        <w:numPr>
          <w:ilvl w:val="0"/>
          <w:numId w:val="0"/>
        </w:numPr>
        <w:kinsoku/>
        <w:wordWrap/>
        <w:overflowPunct w:val="0"/>
        <w:topLinePunct w:val="0"/>
        <w:autoSpaceDE w:val="0"/>
        <w:autoSpaceDN w:val="0"/>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1.加强残疾人权益保障法治建设</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将残疾人相关法律法规宣传纳入市“九五”普法工作，实施残疾人尊法学法守法用法专项行动。配合各级人大、政协开展执法检查、视察、调研和协商活动。支持残疾人、残疾人亲友和残疾人工作者进入各级人大、政协履职，拓展民主参与、民主协商渠道。</w:t>
      </w:r>
    </w:p>
    <w:p w14:paraId="67F6B5DA">
      <w:pPr>
        <w:pStyle w:val="9"/>
        <w:keepNext w:val="0"/>
        <w:keepLines w:val="0"/>
        <w:pageBreakBefore w:val="0"/>
        <w:widowControl w:val="0"/>
        <w:numPr>
          <w:ilvl w:val="0"/>
          <w:numId w:val="0"/>
        </w:numPr>
        <w:kinsoku/>
        <w:wordWrap/>
        <w:overflowPunct w:val="0"/>
        <w:topLinePunct w:val="0"/>
        <w:autoSpaceDE w:val="0"/>
        <w:autoSpaceDN w:val="0"/>
        <w:bidi w:val="0"/>
        <w:adjustRightInd/>
        <w:snapToGrid w:val="0"/>
        <w:spacing w:beforeAutospacing="0" w:afterAutospacing="0"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14:textFill>
            <w14:solidFill>
              <w14:schemeClr w14:val="tx1"/>
            </w14:solidFill>
          </w14:textFill>
        </w:rPr>
        <w:t>加大司法保护援助力度。</w:t>
      </w: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深化残疾人司法保护协作，为符合条件的残疾人提供司法救助和无障碍诉讼服务。优先办理残疾人法律援助案件。推动市级律师协会成立残疾人权益保障专业委员会，培养残疾人法律服务志愿者队伍。加强对残疾职工、未成年人、妇女、老年人等重点群体的保护，严厉打击侵害残疾人合法权益的违法犯罪行为。深入推进残疾人信访工作法治化，完善涉残“总对总”在线多元纠纷调解服务。</w:t>
      </w:r>
    </w:p>
    <w:p w14:paraId="53C2450A">
      <w:pPr>
        <w:pStyle w:val="1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snapToGrid w:val="0"/>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32"/>
          <w:szCs w:val="32"/>
          <w14:textFill>
            <w14:solidFill>
              <w14:schemeClr w14:val="tx1"/>
            </w14:solidFill>
          </w14:textFill>
        </w:rPr>
        <w:t>提升无障碍环境建设品质。</w:t>
      </w:r>
      <w:r>
        <w:rPr>
          <w:rFonts w:hint="eastAsia" w:ascii="仿宋_GB2312" w:hAnsi="仿宋_GB2312" w:eastAsia="仿宋_GB2312" w:cs="仿宋_GB2312"/>
          <w:b w:val="0"/>
          <w:bCs w:val="0"/>
          <w:color w:val="000000" w:themeColor="text1"/>
          <w:sz w:val="32"/>
          <w:szCs w:val="32"/>
          <w:highlight w:val="none"/>
          <w:u w:val="none"/>
          <w:lang w:val="en-US" w:eastAsia="zh-CN"/>
          <w14:textFill>
            <w14:solidFill>
              <w14:schemeClr w14:val="tx1"/>
            </w14:solidFill>
          </w14:textFill>
        </w:rPr>
        <w:t>结合城市更新行动、城镇老旧小区改造、完整社区建设、老年友好型社区建设、农村人居环境整治，统筹推进无障碍设施建设和改造，加强既有无障碍设施维护管理。推动交通运输领域无障碍设施设备更新改造，大力推广应用低地板低入口公共汽电车。鼓励符合条件的公共服务场所、交通枢纽、残疾人服务机构、信息无障碍产品与服务等申请无障碍环境认证。充分发挥各级无障碍环境促进队伍社会监督作用。支持政务服务、医疗健康、养老服务、交通出行等领域适老化、无障碍软件产品的研发和推广。</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4DB4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18A3EF34">
            <w:pPr>
              <w:keepNext w:val="0"/>
              <w:keepLines w:val="0"/>
              <w:pageBreakBefore w:val="0"/>
              <w:widowControl w:val="0"/>
              <w:kinsoku/>
              <w:wordWrap/>
              <w:overflowPunct w:val="0"/>
              <w:topLinePunct w:val="0"/>
              <w:autoSpaceDE w:val="0"/>
              <w:autoSpaceDN w:val="0"/>
              <w:bidi w:val="0"/>
              <w:adjustRightInd/>
              <w:snapToGrid/>
              <w:spacing w:line="560" w:lineRule="exact"/>
              <w:jc w:val="center"/>
              <w:textAlignment w:val="auto"/>
              <w:rPr>
                <w:rFonts w:hint="eastAsia" w:ascii="仿宋_GB2312" w:hAnsi="仿宋_GB2312" w:eastAsia="仿宋_GB2312" w:cs="仿宋_GB2312"/>
                <w:b w:val="0"/>
                <w:bCs w:val="0"/>
                <w:color w:val="000000" w:themeColor="text1"/>
                <w:sz w:val="28"/>
                <w:szCs w:val="28"/>
                <w:vertAlign w:val="baseline"/>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专栏</w:t>
            </w:r>
            <w:r>
              <w:rPr>
                <w:rFonts w:hint="eastAsia" w:ascii="黑体" w:hAnsi="黑体" w:eastAsia="黑体" w:cs="黑体"/>
                <w:b w:val="0"/>
                <w:bCs w:val="0"/>
                <w:color w:val="000000" w:themeColor="text1"/>
                <w:sz w:val="24"/>
                <w:szCs w:val="24"/>
                <w:lang w:val="en-US" w:eastAsia="zh-CN"/>
                <w14:textFill>
                  <w14:solidFill>
                    <w14:schemeClr w14:val="tx1"/>
                  </w14:solidFill>
                </w14:textFill>
              </w:rPr>
              <w:t>7</w:t>
            </w:r>
            <w:r>
              <w:rPr>
                <w:rFonts w:hint="eastAsia" w:ascii="黑体" w:hAnsi="黑体" w:eastAsia="黑体" w:cs="黑体"/>
                <w:b w:val="0"/>
                <w:bCs w:val="0"/>
                <w:color w:val="000000" w:themeColor="text1"/>
                <w:sz w:val="24"/>
                <w:szCs w:val="24"/>
                <w14:textFill>
                  <w14:solidFill>
                    <w14:schemeClr w14:val="tx1"/>
                  </w14:solidFill>
                </w14:textFill>
              </w:rPr>
              <w:t>：无障碍服务</w:t>
            </w:r>
          </w:p>
        </w:tc>
      </w:tr>
      <w:tr w14:paraId="5ECC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71D87512">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1.</w:t>
            </w:r>
            <w:r>
              <w:rPr>
                <w:rFonts w:hint="eastAsia" w:ascii="黑体" w:hAnsi="黑体" w:eastAsia="黑体" w:cs="黑体"/>
                <w:b w:val="0"/>
                <w:bCs w:val="0"/>
                <w:color w:val="000000" w:themeColor="text1"/>
                <w:sz w:val="24"/>
                <w:szCs w:val="24"/>
                <w14:textFill>
                  <w14:solidFill>
                    <w14:schemeClr w14:val="tx1"/>
                  </w14:solidFill>
                </w14:textFill>
              </w:rPr>
              <w:t>无障碍出行服务。</w:t>
            </w:r>
            <w:r>
              <w:rPr>
                <w:rFonts w:hint="eastAsia" w:ascii="仿宋_GB2312" w:hAnsi="仿宋_GB2312" w:eastAsia="仿宋_GB2312" w:cs="仿宋_GB2312"/>
                <w:b w:val="0"/>
                <w:bCs w:val="0"/>
                <w:color w:val="000000" w:themeColor="text1"/>
                <w:sz w:val="24"/>
                <w:szCs w:val="24"/>
                <w14:textFill>
                  <w14:solidFill>
                    <w14:schemeClr w14:val="tx1"/>
                  </w14:solidFill>
                </w14:textFill>
              </w:rPr>
              <w:t>推进交通基础设施的适老化和无障碍改造，确保新建、改建、扩建的铁路客运站、汽车客运站、机场、城市轨道交通车站及公交枢纽等实现设施全覆盖。推进出租汽车电召和网约车“一键叫车”服务。推广使用具备无障碍出行服务功能的地图导航定位产品。推动公共停车场按有关规定设置无障碍停车位并提供优惠或免费停车服务。</w:t>
            </w:r>
          </w:p>
          <w:p w14:paraId="2D8934A5">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2.</w:t>
            </w:r>
            <w:r>
              <w:rPr>
                <w:rFonts w:hint="eastAsia" w:ascii="黑体" w:hAnsi="黑体" w:eastAsia="黑体" w:cs="黑体"/>
                <w:b w:val="0"/>
                <w:bCs w:val="0"/>
                <w:color w:val="000000" w:themeColor="text1"/>
                <w:sz w:val="24"/>
                <w:szCs w:val="24"/>
                <w14:textFill>
                  <w14:solidFill>
                    <w14:schemeClr w14:val="tx1"/>
                  </w14:solidFill>
                </w14:textFill>
              </w:rPr>
              <w:t>无障碍公共服务。</w:t>
            </w:r>
            <w:r>
              <w:rPr>
                <w:rFonts w:hint="eastAsia" w:ascii="仿宋_GB2312" w:hAnsi="仿宋_GB2312" w:eastAsia="仿宋_GB2312" w:cs="仿宋_GB2312"/>
                <w:b w:val="0"/>
                <w:bCs w:val="0"/>
                <w:color w:val="000000" w:themeColor="text1"/>
                <w:sz w:val="24"/>
                <w:szCs w:val="24"/>
                <w14:textFill>
                  <w14:solidFill>
                    <w14:schemeClr w14:val="tx1"/>
                  </w14:solidFill>
                </w14:textFill>
              </w:rPr>
              <w:t>推动政务服务、医院、学校、银行、电信、图书馆、科技馆、影剧院、文化馆、博物馆、体育馆、旅游景区以及餐饮酒店等场所按照有关标准和要求做好无障碍设施建设和改造，配备必要的设备，提供无障碍服务。完善金融、医疗、邮政等场所自助公共服务设备无障碍服务功能。</w:t>
            </w:r>
          </w:p>
          <w:p w14:paraId="78AB726A">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8"/>
                <w:szCs w:val="28"/>
                <w:vertAlign w:val="baseline"/>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3.</w:t>
            </w:r>
            <w:r>
              <w:rPr>
                <w:rFonts w:hint="eastAsia" w:ascii="黑体" w:hAnsi="黑体" w:eastAsia="黑体" w:cs="黑体"/>
                <w:b w:val="0"/>
                <w:bCs w:val="0"/>
                <w:color w:val="000000" w:themeColor="text1"/>
                <w:sz w:val="24"/>
                <w:szCs w:val="24"/>
                <w14:textFill>
                  <w14:solidFill>
                    <w14:schemeClr w14:val="tx1"/>
                  </w14:solidFill>
                </w14:textFill>
              </w:rPr>
              <w:t>无障碍信息服务。</w:t>
            </w:r>
            <w:r>
              <w:rPr>
                <w:rFonts w:hint="eastAsia" w:ascii="仿宋_GB2312" w:hAnsi="仿宋_GB2312" w:eastAsia="仿宋_GB2312" w:cs="仿宋_GB2312"/>
                <w:b w:val="0"/>
                <w:bCs w:val="0"/>
                <w:color w:val="000000" w:themeColor="text1"/>
                <w:sz w:val="24"/>
                <w:szCs w:val="24"/>
                <w14:textFill>
                  <w14:solidFill>
                    <w14:schemeClr w14:val="tx1"/>
                  </w14:solidFill>
                </w14:textFill>
              </w:rPr>
              <w:t>提升各类政务服务平台、公共服务平台的无障碍适配水平，完善各类政务服务便民热线和紧急呼叫系统无障碍功能。推广“齐鲁手语在线”听力言语残疾人无障碍信息平台应用场景。</w:t>
            </w:r>
          </w:p>
        </w:tc>
      </w:tr>
    </w:tbl>
    <w:p w14:paraId="6C70213F">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p>
    <w:p w14:paraId="6E19A054">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32"/>
          <w:szCs w:val="32"/>
          <w14:textFill>
            <w14:solidFill>
              <w14:schemeClr w14:val="tx1"/>
            </w14:solidFill>
          </w14:textFill>
        </w:rPr>
        <w:t>营造扶残助残良好环境。推选第八次全省自强模范和助残先进</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。践行社会主义核心价值观，大力弘扬人道主义精神和“平等、融合、共享”价值理念，营造全社会理解、尊重、关心、帮助残疾人的良好氛围和环境。</w:t>
      </w:r>
    </w:p>
    <w:p w14:paraId="4BC10FA0">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14:textFill>
            <w14:solidFill>
              <w14:schemeClr w14:val="tx1"/>
            </w14:solidFill>
          </w14:textFill>
        </w:rPr>
        <w:t>（六）激活数智助残引擎，赋能残疾人事业转型升级</w:t>
      </w:r>
    </w:p>
    <w:p w14:paraId="13205862">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加强助残科技研发攻关。将科技助残纳入</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全市科技发展大局</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，强化企业助残科技创新主体地位。</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提升</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全市科技助残服务</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水平</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，开展科技需求调研和征集。加强智能助行、助听、助视及服务机器人等科技产品研发力度。</w:t>
      </w:r>
    </w:p>
    <w:p w14:paraId="39DB7045">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加速</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助残</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科技成果落地转化。</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注重</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助残科技成果信息收集与发布</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依托本地高等院校和科技研发机构为助残科技成果全流程转化提供服务。支持符合条件的检验检测机构申报省级康复辅助器具质量检验检测中心。推进人工智能与残疾人康复、就业、教育、托养照护等服务深度融合。围绕残疾人康复、出行、居家等领域，加强助残科技应用场景建设。将认可度高、安全有效的创新技术和产品纳入政府购买助残服务补贴目录或相关消费品以旧换新补贴范围，促进规模化应用。</w:t>
      </w:r>
    </w:p>
    <w:p w14:paraId="3CF5F90F">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32"/>
          <w:szCs w:val="32"/>
          <w14:textFill>
            <w14:solidFill>
              <w14:schemeClr w14:val="tx1"/>
            </w14:solidFill>
          </w14:textFill>
        </w:rPr>
        <w:t>加快“数智残联”建设步伐。</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加强</w:t>
      </w:r>
      <w:r>
        <w:rPr>
          <w:rFonts w:hint="eastAsia" w:ascii="仿宋_GB2312" w:hAnsi="仿宋_GB2312" w:eastAsia="仿宋_GB2312" w:cs="仿宋_GB2312"/>
          <w:b w:val="0"/>
          <w:bCs w:val="0"/>
          <w:color w:val="000000" w:themeColor="text1"/>
          <w:sz w:val="32"/>
          <w:szCs w:val="32"/>
          <w14:textFill>
            <w14:solidFill>
              <w14:schemeClr w14:val="tx1"/>
            </w14:solidFill>
          </w14:textFill>
        </w:rPr>
        <w:t>跨部门数据共享，健全残疾人基础信息库，实现数据动态更新与精准管理</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提升</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残疾人</w:t>
      </w:r>
      <w:r>
        <w:rPr>
          <w:rFonts w:hint="eastAsia" w:ascii="仿宋_GB2312" w:hAnsi="仿宋_GB2312" w:eastAsia="仿宋_GB2312" w:cs="仿宋_GB2312"/>
          <w:b w:val="0"/>
          <w:bCs w:val="0"/>
          <w:color w:val="000000" w:themeColor="text1"/>
          <w:sz w:val="32"/>
          <w:szCs w:val="32"/>
          <w14:textFill>
            <w14:solidFill>
              <w14:schemeClr w14:val="tx1"/>
            </w14:solidFill>
          </w14:textFill>
        </w:rPr>
        <w:t>服务数字化、智能化水平。</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规范残疾人服务“一件事”办理，提供帮办代办，优化用户体验。拓展深化残疾人全业务数智化应用。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959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04717367">
            <w:pPr>
              <w:keepNext w:val="0"/>
              <w:keepLines w:val="0"/>
              <w:pageBreakBefore w:val="0"/>
              <w:widowControl w:val="0"/>
              <w:kinsoku/>
              <w:wordWrap/>
              <w:overflowPunct w:val="0"/>
              <w:topLinePunct w:val="0"/>
              <w:autoSpaceDE w:val="0"/>
              <w:autoSpaceDN w:val="0"/>
              <w:bidi w:val="0"/>
              <w:adjustRightInd/>
              <w:snapToGrid/>
              <w:spacing w:line="560" w:lineRule="exact"/>
              <w:jc w:val="center"/>
              <w:textAlignment w:val="auto"/>
              <w:rPr>
                <w:rFonts w:hint="eastAsia" w:ascii="楷体_GB2312" w:hAnsi="楷体_GB2312" w:eastAsia="楷体_GB2312" w:cs="楷体_GB2312"/>
                <w:b w:val="0"/>
                <w:bCs w:val="0"/>
                <w:color w:val="000000" w:themeColor="text1"/>
                <w:sz w:val="28"/>
                <w:szCs w:val="28"/>
                <w:vertAlign w:val="baseline"/>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专栏</w:t>
            </w:r>
            <w:r>
              <w:rPr>
                <w:rFonts w:hint="eastAsia" w:ascii="黑体" w:hAnsi="黑体" w:eastAsia="黑体" w:cs="黑体"/>
                <w:b w:val="0"/>
                <w:bCs w:val="0"/>
                <w:color w:val="000000" w:themeColor="text1"/>
                <w:sz w:val="24"/>
                <w:szCs w:val="24"/>
                <w:lang w:val="en-US" w:eastAsia="zh-CN"/>
                <w14:textFill>
                  <w14:solidFill>
                    <w14:schemeClr w14:val="tx1"/>
                  </w14:solidFill>
                </w14:textFill>
              </w:rPr>
              <w:t>8</w:t>
            </w:r>
            <w:r>
              <w:rPr>
                <w:rFonts w:hint="eastAsia" w:ascii="黑体" w:hAnsi="黑体" w:eastAsia="黑体" w:cs="黑体"/>
                <w:b w:val="0"/>
                <w:bCs w:val="0"/>
                <w:color w:val="000000" w:themeColor="text1"/>
                <w:sz w:val="24"/>
                <w:szCs w:val="24"/>
                <w14:textFill>
                  <w14:solidFill>
                    <w14:schemeClr w14:val="tx1"/>
                  </w14:solidFill>
                </w14:textFill>
              </w:rPr>
              <w:t>：数智化助残服务</w:t>
            </w:r>
          </w:p>
        </w:tc>
      </w:tr>
      <w:tr w14:paraId="48917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E9E09A9">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1.</w:t>
            </w:r>
            <w:r>
              <w:rPr>
                <w:rFonts w:hint="eastAsia" w:ascii="黑体" w:hAnsi="黑体" w:eastAsia="黑体" w:cs="黑体"/>
                <w:b w:val="0"/>
                <w:bCs w:val="0"/>
                <w:color w:val="000000" w:themeColor="text1"/>
                <w:sz w:val="24"/>
                <w:szCs w:val="24"/>
                <w14:textFill>
                  <w14:solidFill>
                    <w14:schemeClr w14:val="tx1"/>
                  </w14:solidFill>
                </w14:textFill>
              </w:rPr>
              <w:t>科技助残专项研究。</w:t>
            </w:r>
            <w:r>
              <w:rPr>
                <w:rFonts w:hint="eastAsia" w:ascii="仿宋_GB2312" w:hAnsi="仿宋_GB2312" w:eastAsia="仿宋_GB2312" w:cs="仿宋_GB2312"/>
                <w:b w:val="0"/>
                <w:bCs w:val="0"/>
                <w:color w:val="000000" w:themeColor="text1"/>
                <w:sz w:val="24"/>
                <w:szCs w:val="24"/>
                <w14:textFill>
                  <w14:solidFill>
                    <w14:schemeClr w14:val="tx1"/>
                  </w14:solidFill>
                </w14:textFill>
              </w:rPr>
              <w:t>聚焦满足残疾人助行、助视、助听、导盲、居家环境控制、无障碍交流等需求，引导鼓励企业、高校、科研机构、残疾人服务机构等开展助残科技攻关，研发智能助行、导盲、智能辅听装置、家庭服务机器人等，每年遴选支持一批市级专项研究项目，丰富高质量助残科技产品研发供给。</w:t>
            </w:r>
          </w:p>
          <w:p w14:paraId="5FC52EDB">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仿宋_GB2312" w:hAnsi="仿宋_GB2312" w:eastAsia="仿宋_GB2312" w:cs="仿宋_GB2312"/>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2.</w:t>
            </w:r>
            <w:r>
              <w:rPr>
                <w:rFonts w:hint="eastAsia" w:ascii="黑体" w:hAnsi="黑体" w:eastAsia="黑体" w:cs="黑体"/>
                <w:b w:val="0"/>
                <w:bCs w:val="0"/>
                <w:color w:val="000000" w:themeColor="text1"/>
                <w:sz w:val="24"/>
                <w:szCs w:val="24"/>
                <w14:textFill>
                  <w14:solidFill>
                    <w14:schemeClr w14:val="tx1"/>
                  </w14:solidFill>
                </w14:textFill>
              </w:rPr>
              <w:t>科技助残应用场景建设。</w:t>
            </w:r>
            <w:r>
              <w:rPr>
                <w:rFonts w:hint="eastAsia" w:ascii="仿宋_GB2312" w:hAnsi="仿宋_GB2312" w:eastAsia="仿宋_GB2312" w:cs="仿宋_GB2312"/>
                <w:b w:val="0"/>
                <w:bCs w:val="0"/>
                <w:color w:val="000000" w:themeColor="text1"/>
                <w:sz w:val="24"/>
                <w:szCs w:val="24"/>
                <w14:textFill>
                  <w14:solidFill>
                    <w14:schemeClr w14:val="tx1"/>
                  </w14:solidFill>
                </w14:textFill>
              </w:rPr>
              <w:t>围绕残疾人居家、出行、康复、教育、就业等领域，加快推进助残科技新技术、新产品服务场景示范应用，鼓励省助残联盟内的烟台有关机构，积极打造助残服务典型应用场景</w:t>
            </w:r>
            <w:r>
              <w:rPr>
                <w:rFonts w:hint="eastAsia" w:ascii="仿宋_GB2312" w:hAnsi="仿宋_GB2312" w:eastAsia="仿宋_GB2312" w:cs="仿宋_GB2312"/>
                <w:b w:val="0"/>
                <w:bCs w:val="0"/>
                <w:color w:val="000000" w:themeColor="text1"/>
                <w:sz w:val="24"/>
                <w:szCs w:val="24"/>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14:textFill>
                  <w14:solidFill>
                    <w14:schemeClr w14:val="tx1"/>
                  </w14:solidFill>
                </w14:textFill>
              </w:rPr>
              <w:t>以场景应用推动助残科技创新，加快科技成果落地转化，每年建成一批惠及各类别残疾人的科技助残应用场景。</w:t>
            </w:r>
          </w:p>
          <w:p w14:paraId="33C6DAD0">
            <w:pPr>
              <w:keepNext w:val="0"/>
              <w:keepLines w:val="0"/>
              <w:pageBreakBefore w:val="0"/>
              <w:widowControl w:val="0"/>
              <w:kinsoku/>
              <w:wordWrap/>
              <w:overflowPunct w:val="0"/>
              <w:topLinePunct w:val="0"/>
              <w:autoSpaceDE w:val="0"/>
              <w:autoSpaceDN w:val="0"/>
              <w:bidi w:val="0"/>
              <w:adjustRightInd/>
              <w:snapToGrid/>
              <w:spacing w:line="560" w:lineRule="exact"/>
              <w:ind w:firstLine="480" w:firstLineChars="200"/>
              <w:textAlignment w:val="auto"/>
              <w:rPr>
                <w:rFonts w:hint="eastAsia" w:ascii="楷体_GB2312" w:hAnsi="楷体_GB2312" w:eastAsia="楷体_GB2312" w:cs="楷体_GB2312"/>
                <w:b w:val="0"/>
                <w:bCs w:val="0"/>
                <w:color w:val="000000" w:themeColor="text1"/>
                <w:sz w:val="28"/>
                <w:szCs w:val="28"/>
                <w:vertAlign w:val="baseline"/>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3.</w:t>
            </w:r>
            <w:r>
              <w:rPr>
                <w:rFonts w:hint="eastAsia" w:ascii="黑体" w:hAnsi="黑体" w:eastAsia="黑体" w:cs="黑体"/>
                <w:b w:val="0"/>
                <w:bCs w:val="0"/>
                <w:color w:val="000000" w:themeColor="text1"/>
                <w:sz w:val="24"/>
                <w:szCs w:val="24"/>
                <w14:textFill>
                  <w14:solidFill>
                    <w14:schemeClr w14:val="tx1"/>
                  </w14:solidFill>
                </w14:textFill>
              </w:rPr>
              <w:t>残疾人服务大模型建设。</w:t>
            </w:r>
            <w:r>
              <w:rPr>
                <w:rFonts w:hint="eastAsia" w:ascii="仿宋_GB2312" w:hAnsi="仿宋_GB2312" w:eastAsia="仿宋_GB2312" w:cs="仿宋_GB2312"/>
                <w:b w:val="0"/>
                <w:bCs w:val="0"/>
                <w:color w:val="000000" w:themeColor="text1"/>
                <w:sz w:val="24"/>
                <w:szCs w:val="24"/>
                <w14:textFill>
                  <w14:solidFill>
                    <w14:schemeClr w14:val="tx1"/>
                  </w14:solidFill>
                </w14:textFill>
              </w:rPr>
              <w:t>集约建设残疾人服务大模型、数据集和政策库，推进人工智能技术在智能问答、辅助办理、政策服务直达快享等场景的创新应用。</w:t>
            </w:r>
          </w:p>
        </w:tc>
      </w:tr>
    </w:tbl>
    <w:p w14:paraId="1847D1B4">
      <w:pPr>
        <w:keepNext w:val="0"/>
        <w:keepLines w:val="0"/>
        <w:pageBreakBefore w:val="0"/>
        <w:widowControl w:val="0"/>
        <w:kinsoku/>
        <w:wordWrap/>
        <w:overflowPunct w:val="0"/>
        <w:topLinePunct w:val="0"/>
        <w:autoSpaceDE w:val="0"/>
        <w:autoSpaceDN w:val="0"/>
        <w:bidi w:val="0"/>
        <w:adjustRightInd/>
        <w:snapToGrid/>
        <w:spacing w:line="560" w:lineRule="exact"/>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p>
    <w:p w14:paraId="2FEEABEE">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14:textFill>
            <w14:solidFill>
              <w14:schemeClr w14:val="tx1"/>
            </w14:solidFill>
          </w14:textFill>
        </w:rPr>
        <w:t>（七）凝聚社会助残合力，回应残疾人多元服务需求</w:t>
      </w:r>
    </w:p>
    <w:p w14:paraId="346CB5E4">
      <w:pPr>
        <w:pStyle w:val="9"/>
        <w:keepNext w:val="0"/>
        <w:keepLines w:val="0"/>
        <w:pageBreakBefore w:val="0"/>
        <w:widowControl w:val="0"/>
        <w:numPr>
          <w:ilvl w:val="0"/>
          <w:numId w:val="0"/>
        </w:numPr>
        <w:kinsoku/>
        <w:wordWrap/>
        <w:overflowPunct w:val="0"/>
        <w:topLinePunct w:val="0"/>
        <w:autoSpaceDE w:val="0"/>
        <w:autoSpaceDN w:val="0"/>
        <w:bidi w:val="0"/>
        <w:adjustRightInd/>
        <w:spacing w:beforeAutospacing="0" w:afterAutospacing="0" w:line="560" w:lineRule="exact"/>
        <w:ind w:firstLine="643" w:firstLineChars="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32"/>
          <w:szCs w:val="32"/>
          <w14:textFill>
            <w14:solidFill>
              <w14:schemeClr w14:val="tx1"/>
            </w14:solidFill>
          </w14:textFill>
        </w:rPr>
        <w:t>扶持助残社会组织成长。</w:t>
      </w: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加大助残社会组织孵化培育力度，鼓励将各级政府投资建设的残疾人服务设施无偿或低价提供给公益性、普惠性残疾人服务机构使用，降低助残社会组织运营成本。宣传贯彻《残疾人社会工作服务规范》地方标准，推动助残社会组织专业化、规范化发展。</w:t>
      </w:r>
    </w:p>
    <w:p w14:paraId="2DC7CC27">
      <w:pPr>
        <w:pStyle w:val="9"/>
        <w:keepNext w:val="0"/>
        <w:keepLines w:val="0"/>
        <w:pageBreakBefore w:val="0"/>
        <w:widowControl w:val="0"/>
        <w:numPr>
          <w:ilvl w:val="0"/>
          <w:numId w:val="0"/>
        </w:numPr>
        <w:kinsoku/>
        <w:wordWrap/>
        <w:overflowPunct w:val="0"/>
        <w:topLinePunct w:val="0"/>
        <w:autoSpaceDE w:val="0"/>
        <w:autoSpaceDN w:val="0"/>
        <w:bidi w:val="0"/>
        <w:adjustRightInd/>
        <w:spacing w:beforeAutospacing="0" w:afterAutospacing="0" w:line="560" w:lineRule="exact"/>
        <w:ind w:firstLine="643" w:firstLineChars="0"/>
        <w:textAlignment w:val="auto"/>
        <w:rPr>
          <w:rFonts w:hint="eastAsia" w:ascii="仿宋_GB2312" w:hAnsi="仿宋_GB2312" w:eastAsia="仿宋_GB2312" w:cs="仿宋_GB2312"/>
          <w:b w:val="0"/>
          <w:bCs w:val="0"/>
          <w:color w:val="000000" w:themeColor="text1"/>
          <w:kern w:val="2"/>
          <w:sz w:val="32"/>
          <w:szCs w:val="32"/>
          <w:highlight w:val="yellow"/>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2.助推社会助残服务业发展。持续推进政府购买助残服务，不断优化政府购买助残服务指导目录。积极引导社会力量创办助残服务机构和场所，吸引市场主体参与残疾人服务供给，面向残疾人提供差异化、多样化的服务项目。</w:t>
      </w:r>
    </w:p>
    <w:p w14:paraId="25698C1B">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3.支持助残志愿服务和慈善事业发展。</w:t>
      </w:r>
      <w:r>
        <w:rPr>
          <w:rFonts w:hint="eastAsia" w:ascii="仿宋_GB2312" w:hAnsi="仿宋_GB2312" w:eastAsia="仿宋_GB2312" w:cs="仿宋_GB2312"/>
          <w:b w:val="0"/>
          <w:bCs w:val="0"/>
          <w:color w:val="000000" w:themeColor="text1"/>
          <w:sz w:val="32"/>
          <w:szCs w:val="32"/>
          <w:highlight w:val="none"/>
          <w:u w:val="none"/>
          <w:lang w:val="en-US" w:eastAsia="zh-CN"/>
          <w14:textFill>
            <w14:solidFill>
              <w14:schemeClr w14:val="tx1"/>
            </w14:solidFill>
          </w14:textFill>
        </w:rPr>
        <w:t>加强助残志愿者队伍建设，广泛开展志愿助残服务，打造服务品牌。</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发挥烟台市助残志愿者协会等各类慈善组织作用，引导企业、社会组织和个人通过公益捐赠、设立专项基金、项目合作等方式支持残疾人事业。响应省残疾人福利基金会号召，通过线上线下相结合的方式募集助残资金。</w:t>
      </w:r>
    </w:p>
    <w:p w14:paraId="6F59F717">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14:textFill>
            <w14:solidFill>
              <w14:schemeClr w14:val="tx1"/>
            </w14:solidFill>
          </w14:textFill>
        </w:rPr>
        <w:t>（八）筑牢残联基层基础，厚植残疾人事业发展沃土</w:t>
      </w:r>
    </w:p>
    <w:p w14:paraId="5D5DEC94">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1.健全</w:t>
      </w:r>
      <w:r>
        <w:rPr>
          <w:rFonts w:hint="eastAsia" w:ascii="仿宋_GB2312" w:hAnsi="仿宋_GB2312" w:eastAsia="仿宋_GB2312" w:cs="仿宋_GB2312"/>
          <w:b w:val="0"/>
          <w:bCs w:val="0"/>
          <w:color w:val="000000" w:themeColor="text1"/>
          <w:sz w:val="32"/>
          <w:szCs w:val="32"/>
          <w14:textFill>
            <w14:solidFill>
              <w14:schemeClr w14:val="tx1"/>
            </w14:solidFill>
          </w14:textFill>
        </w:rPr>
        <w:t>残疾人基层组织。</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坚持</w:t>
      </w:r>
      <w:r>
        <w:rPr>
          <w:rFonts w:hint="eastAsia" w:ascii="仿宋_GB2312" w:hAnsi="仿宋_GB2312" w:eastAsia="仿宋_GB2312" w:cs="仿宋_GB2312"/>
          <w:b w:val="0"/>
          <w:bCs w:val="0"/>
          <w:color w:val="000000" w:themeColor="text1"/>
          <w:kern w:val="2"/>
          <w:sz w:val="32"/>
          <w:szCs w:val="32"/>
          <w:highlight w:val="none"/>
          <w:u w:val="none"/>
          <w:lang w:val="en-US" w:eastAsia="zh-CN" w:bidi="ar-SA"/>
          <w14:textFill>
            <w14:solidFill>
              <w14:schemeClr w14:val="tx1"/>
            </w14:solidFill>
          </w14:textFill>
        </w:rPr>
        <w:t>“强三性、去四化”要求，加强全市残联组织建设，更好发挥桥梁纽带作用。加强村（社区）残协建设，推广在残疾人比较集中的小型企事业单位、新经济组织、社会组织等设置残协或残疾人小组，提升残协规范化建设水平和服务能力。支持各级残联专门协会依法依章程开展活动。</w:t>
      </w:r>
    </w:p>
    <w:p w14:paraId="743F50FF">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14:textFill>
            <w14:solidFill>
              <w14:schemeClr w14:val="tx1"/>
            </w14:solidFill>
          </w14:textFill>
        </w:rPr>
        <w:t>锻造残疾人工作者过硬队伍。</w:t>
      </w:r>
      <w:r>
        <w:rPr>
          <w:rFonts w:hint="eastAsia" w:ascii="仿宋_GB2312" w:hAnsi="仿宋_GB2312" w:eastAsia="仿宋_GB2312" w:cs="仿宋_GB2312"/>
          <w:b w:val="0"/>
          <w:bCs w:val="0"/>
          <w:color w:val="000000" w:themeColor="text1"/>
          <w:kern w:val="2"/>
          <w:sz w:val="32"/>
          <w:szCs w:val="32"/>
          <w:highlight w:val="none"/>
          <w:u w:val="none"/>
          <w:lang w:val="en-US" w:eastAsia="zh-CN" w:bidi="ar-SA"/>
          <w14:textFill>
            <w14:solidFill>
              <w14:schemeClr w14:val="tx1"/>
            </w14:solidFill>
          </w14:textFill>
        </w:rPr>
        <w:t>加强残</w:t>
      </w:r>
      <w:r>
        <w:rPr>
          <w:rFonts w:hint="eastAsia" w:ascii="仿宋_GB2312" w:hAnsi="仿宋_GB2312" w:eastAsia="仿宋_GB2312" w:cs="仿宋_GB2312"/>
          <w:b w:val="0"/>
          <w:bCs w:val="0"/>
          <w:color w:val="000000" w:themeColor="text1"/>
          <w:sz w:val="32"/>
          <w:szCs w:val="32"/>
          <w14:textFill>
            <w14:solidFill>
              <w14:schemeClr w14:val="tx1"/>
            </w14:solidFill>
          </w14:textFill>
        </w:rPr>
        <w:t>联干部教育培训。重视残疾人干部培养、选拔和使用。深化各级残联党风廉政建设和反腐败工作</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守牢残疾人工作底线</w:t>
      </w:r>
      <w:r>
        <w:rPr>
          <w:rFonts w:hint="eastAsia" w:ascii="仿宋_GB2312" w:hAnsi="仿宋_GB2312" w:eastAsia="仿宋_GB2312" w:cs="仿宋_GB2312"/>
          <w:b w:val="0"/>
          <w:bCs w:val="0"/>
          <w:color w:val="000000" w:themeColor="text1"/>
          <w:sz w:val="32"/>
          <w:szCs w:val="32"/>
          <w14:textFill>
            <w14:solidFill>
              <w14:schemeClr w14:val="tx1"/>
            </w14:solidFill>
          </w14:textFill>
        </w:rPr>
        <w:t>。加强残疾人康复、教育、就业、托养照护、文化体育、社会工作等专业人才队伍建设。鼓励残疾人工作者报考社会工作师。</w:t>
      </w:r>
    </w:p>
    <w:p w14:paraId="7112B9DE">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32"/>
          <w:szCs w:val="32"/>
          <w14:textFill>
            <w14:solidFill>
              <w14:schemeClr w14:val="tx1"/>
            </w14:solidFill>
          </w14:textFill>
        </w:rPr>
        <w:t>夯实残疾人服务硬件支撑。统筹推进城乡残疾人事业均衡发展，扶持各地开展残疾人康复、托养照料及综合性服务设施</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建设</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规范</w:t>
      </w:r>
      <w:r>
        <w:rPr>
          <w:rFonts w:hint="eastAsia" w:ascii="仿宋_GB2312" w:hAnsi="仿宋_GB2312" w:eastAsia="仿宋_GB2312" w:cs="仿宋_GB2312"/>
          <w:b w:val="0"/>
          <w:bCs w:val="0"/>
          <w:color w:val="000000" w:themeColor="text1"/>
          <w:sz w:val="32"/>
          <w:szCs w:val="32"/>
          <w14:textFill>
            <w14:solidFill>
              <w14:schemeClr w14:val="tx1"/>
            </w14:solidFill>
          </w14:textFill>
        </w:rPr>
        <w:t>“如康家园”残疾人之家常态化管理，持续优化服务效能、提升服务品质。</w:t>
      </w:r>
    </w:p>
    <w:p w14:paraId="5426B8A1">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highlight w:val="none"/>
          <w:u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32"/>
          <w:szCs w:val="32"/>
          <w14:textFill>
            <w14:solidFill>
              <w14:schemeClr w14:val="tx1"/>
            </w14:solidFill>
          </w14:textFill>
        </w:rPr>
        <w:t>提升残疾人服务综合效能。</w:t>
      </w:r>
      <w:r>
        <w:rPr>
          <w:rFonts w:hint="eastAsia" w:ascii="仿宋_GB2312" w:hAnsi="仿宋_GB2312" w:eastAsia="仿宋_GB2312" w:cs="仿宋_GB2312"/>
          <w:b w:val="0"/>
          <w:bCs w:val="0"/>
          <w:color w:val="000000" w:themeColor="text1"/>
          <w:kern w:val="2"/>
          <w:sz w:val="32"/>
          <w:szCs w:val="32"/>
          <w:highlight w:val="none"/>
          <w:u w:val="none"/>
          <w:lang w:val="en-US" w:eastAsia="zh-CN" w:bidi="ar-SA"/>
          <w14:textFill>
            <w14:solidFill>
              <w14:schemeClr w14:val="tx1"/>
            </w14:solidFill>
          </w14:textFill>
        </w:rPr>
        <w:t>将‌扶残助残‌纳入常住地基本公共服务，依法依规落实残疾人公共服务事项和村（居）工作事项。进一步规范残疾人证核发管理，提高残疾评定精准度。推行统一的残疾人证电子证照，推广加载残疾人证功能的社会保障卡。开展第三次全国残疾人抽样调查。提高残疾人领域风险隐患防范化解能力，守牢安全底线。</w:t>
      </w:r>
    </w:p>
    <w:p w14:paraId="77378BAD">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三、保障措施</w:t>
      </w:r>
    </w:p>
    <w:p w14:paraId="74ED149F">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坚持党对残疾人事业的全面领导，健全党委领导、政府负责、部门协同、社会参与的工作机制。各级政府要将残疾人事业发展纳入国民经济和社会发展规划，统筹安排、协调推进。市直有关部门要根据职责分工制定具体落实措施，确保各项任务落地见效。要保障残疾人事业发展经费，加强残疾人就业保障金对残疾人就业和生活的支持，积极引导社会资金投入残疾人事业。市残联会同</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市政府残疾人工作机制</w:t>
      </w:r>
      <w:r>
        <w:rPr>
          <w:rFonts w:hint="eastAsia" w:ascii="仿宋_GB2312" w:hAnsi="仿宋_GB2312" w:eastAsia="仿宋_GB2312" w:cs="仿宋_GB2312"/>
          <w:b w:val="0"/>
          <w:bCs w:val="0"/>
          <w:color w:val="000000" w:themeColor="text1"/>
          <w:sz w:val="32"/>
          <w:szCs w:val="32"/>
          <w14:textFill>
            <w14:solidFill>
              <w14:schemeClr w14:val="tx1"/>
            </w14:solidFill>
          </w14:textFill>
        </w:rPr>
        <w:t>各成员单位对规划实施情况开展年度监测、中期评估和总结评估，及时研究解决规划实施中的困难和问题。重大事项按程序向市委、市政府报告。</w:t>
      </w:r>
    </w:p>
    <w:p w14:paraId="730B3575">
      <w:pPr>
        <w:keepNext w:val="0"/>
        <w:keepLines w:val="0"/>
        <w:pageBreakBefore w:val="0"/>
        <w:widowControl w:val="0"/>
        <w:kinsoku/>
        <w:wordWrap/>
        <w:overflowPunct w:val="0"/>
        <w:topLinePunct w:val="0"/>
        <w:autoSpaceDE w:val="0"/>
        <w:autoSpaceDN w:val="0"/>
        <w:bidi w:val="0"/>
        <w:adjustRightInd/>
        <w:snapToGrid/>
        <w:spacing w:line="560" w:lineRule="exact"/>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bookmarkStart w:id="0" w:name="_GoBack"/>
      <w:bookmarkEnd w:id="0"/>
    </w:p>
    <w:sectPr>
      <w:footerReference r:id="rId3" w:type="default"/>
      <w:pgSz w:w="11906" w:h="16838"/>
      <w:pgMar w:top="2098" w:right="1531" w:bottom="1984"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0E11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D72547">
                          <w:pPr>
                            <w:pStyle w:val="2"/>
                            <w:rPr>
                              <w:rFonts w:hint="eastAsia" w:ascii="华文中宋" w:hAnsi="华文中宋" w:eastAsia="华文中宋" w:cs="华文中宋"/>
                              <w:sz w:val="24"/>
                              <w:szCs w:val="40"/>
                            </w:rPr>
                          </w:pPr>
                          <w:r>
                            <w:rPr>
                              <w:rFonts w:hint="eastAsia" w:ascii="华文中宋" w:hAnsi="华文中宋" w:eastAsia="华文中宋" w:cs="华文中宋"/>
                              <w:sz w:val="24"/>
                              <w:szCs w:val="40"/>
                            </w:rPr>
                            <w:t xml:space="preserve">— </w:t>
                          </w:r>
                          <w:r>
                            <w:rPr>
                              <w:rFonts w:hint="eastAsia" w:ascii="华文中宋" w:hAnsi="华文中宋" w:eastAsia="华文中宋" w:cs="华文中宋"/>
                              <w:sz w:val="24"/>
                              <w:szCs w:val="40"/>
                            </w:rPr>
                            <w:fldChar w:fldCharType="begin"/>
                          </w:r>
                          <w:r>
                            <w:rPr>
                              <w:rFonts w:hint="eastAsia" w:ascii="华文中宋" w:hAnsi="华文中宋" w:eastAsia="华文中宋" w:cs="华文中宋"/>
                              <w:sz w:val="24"/>
                              <w:szCs w:val="40"/>
                            </w:rPr>
                            <w:instrText xml:space="preserve"> PAGE  \* MERGEFORMAT </w:instrText>
                          </w:r>
                          <w:r>
                            <w:rPr>
                              <w:rFonts w:hint="eastAsia" w:ascii="华文中宋" w:hAnsi="华文中宋" w:eastAsia="华文中宋" w:cs="华文中宋"/>
                              <w:sz w:val="24"/>
                              <w:szCs w:val="40"/>
                            </w:rPr>
                            <w:fldChar w:fldCharType="separate"/>
                          </w:r>
                          <w:r>
                            <w:rPr>
                              <w:rFonts w:hint="eastAsia" w:ascii="华文中宋" w:hAnsi="华文中宋" w:eastAsia="华文中宋" w:cs="华文中宋"/>
                              <w:sz w:val="24"/>
                              <w:szCs w:val="40"/>
                            </w:rPr>
                            <w:t>1</w:t>
                          </w:r>
                          <w:r>
                            <w:rPr>
                              <w:rFonts w:hint="eastAsia" w:ascii="华文中宋" w:hAnsi="华文中宋" w:eastAsia="华文中宋" w:cs="华文中宋"/>
                              <w:sz w:val="24"/>
                              <w:szCs w:val="40"/>
                            </w:rPr>
                            <w:fldChar w:fldCharType="end"/>
                          </w:r>
                          <w:r>
                            <w:rPr>
                              <w:rFonts w:hint="eastAsia" w:ascii="华文中宋" w:hAnsi="华文中宋" w:eastAsia="华文中宋" w:cs="华文中宋"/>
                              <w:sz w:val="24"/>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0D72547">
                    <w:pPr>
                      <w:pStyle w:val="2"/>
                      <w:rPr>
                        <w:rFonts w:hint="eastAsia" w:ascii="华文中宋" w:hAnsi="华文中宋" w:eastAsia="华文中宋" w:cs="华文中宋"/>
                        <w:sz w:val="24"/>
                        <w:szCs w:val="40"/>
                      </w:rPr>
                    </w:pPr>
                    <w:r>
                      <w:rPr>
                        <w:rFonts w:hint="eastAsia" w:ascii="华文中宋" w:hAnsi="华文中宋" w:eastAsia="华文中宋" w:cs="华文中宋"/>
                        <w:sz w:val="24"/>
                        <w:szCs w:val="40"/>
                      </w:rPr>
                      <w:t xml:space="preserve">— </w:t>
                    </w:r>
                    <w:r>
                      <w:rPr>
                        <w:rFonts w:hint="eastAsia" w:ascii="华文中宋" w:hAnsi="华文中宋" w:eastAsia="华文中宋" w:cs="华文中宋"/>
                        <w:sz w:val="24"/>
                        <w:szCs w:val="40"/>
                      </w:rPr>
                      <w:fldChar w:fldCharType="begin"/>
                    </w:r>
                    <w:r>
                      <w:rPr>
                        <w:rFonts w:hint="eastAsia" w:ascii="华文中宋" w:hAnsi="华文中宋" w:eastAsia="华文中宋" w:cs="华文中宋"/>
                        <w:sz w:val="24"/>
                        <w:szCs w:val="40"/>
                      </w:rPr>
                      <w:instrText xml:space="preserve"> PAGE  \* MERGEFORMAT </w:instrText>
                    </w:r>
                    <w:r>
                      <w:rPr>
                        <w:rFonts w:hint="eastAsia" w:ascii="华文中宋" w:hAnsi="华文中宋" w:eastAsia="华文中宋" w:cs="华文中宋"/>
                        <w:sz w:val="24"/>
                        <w:szCs w:val="40"/>
                      </w:rPr>
                      <w:fldChar w:fldCharType="separate"/>
                    </w:r>
                    <w:r>
                      <w:rPr>
                        <w:rFonts w:hint="eastAsia" w:ascii="华文中宋" w:hAnsi="华文中宋" w:eastAsia="华文中宋" w:cs="华文中宋"/>
                        <w:sz w:val="24"/>
                        <w:szCs w:val="40"/>
                      </w:rPr>
                      <w:t>1</w:t>
                    </w:r>
                    <w:r>
                      <w:rPr>
                        <w:rFonts w:hint="eastAsia" w:ascii="华文中宋" w:hAnsi="华文中宋" w:eastAsia="华文中宋" w:cs="华文中宋"/>
                        <w:sz w:val="24"/>
                        <w:szCs w:val="40"/>
                      </w:rPr>
                      <w:fldChar w:fldCharType="end"/>
                    </w:r>
                    <w:r>
                      <w:rPr>
                        <w:rFonts w:hint="eastAsia" w:ascii="华文中宋" w:hAnsi="华文中宋" w:eastAsia="华文中宋" w:cs="华文中宋"/>
                        <w:sz w:val="24"/>
                        <w:szCs w:val="4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D0860"/>
    <w:rsid w:val="00E92F14"/>
    <w:rsid w:val="026B76FE"/>
    <w:rsid w:val="02E62FD5"/>
    <w:rsid w:val="03714E9A"/>
    <w:rsid w:val="060B5CE6"/>
    <w:rsid w:val="0A3A5354"/>
    <w:rsid w:val="0D28294D"/>
    <w:rsid w:val="0F480974"/>
    <w:rsid w:val="16474854"/>
    <w:rsid w:val="1D0B7468"/>
    <w:rsid w:val="1D3726D3"/>
    <w:rsid w:val="20950C15"/>
    <w:rsid w:val="23F50442"/>
    <w:rsid w:val="240E5B6C"/>
    <w:rsid w:val="24392B0D"/>
    <w:rsid w:val="25FF4167"/>
    <w:rsid w:val="26206722"/>
    <w:rsid w:val="27D50520"/>
    <w:rsid w:val="27F97454"/>
    <w:rsid w:val="2B230F68"/>
    <w:rsid w:val="2CD31625"/>
    <w:rsid w:val="2DD9142A"/>
    <w:rsid w:val="2E196B15"/>
    <w:rsid w:val="2FA92936"/>
    <w:rsid w:val="2FC20F7C"/>
    <w:rsid w:val="323F1C36"/>
    <w:rsid w:val="32487229"/>
    <w:rsid w:val="32D44EC9"/>
    <w:rsid w:val="3454129D"/>
    <w:rsid w:val="35784CBC"/>
    <w:rsid w:val="37BC44D2"/>
    <w:rsid w:val="39EF1316"/>
    <w:rsid w:val="3BAD1BDA"/>
    <w:rsid w:val="3DF02BEC"/>
    <w:rsid w:val="3E0F6E19"/>
    <w:rsid w:val="41D906A7"/>
    <w:rsid w:val="426727F5"/>
    <w:rsid w:val="42E75D03"/>
    <w:rsid w:val="43EA24E4"/>
    <w:rsid w:val="45BD2F26"/>
    <w:rsid w:val="47C167F2"/>
    <w:rsid w:val="48403BBB"/>
    <w:rsid w:val="49E04914"/>
    <w:rsid w:val="4CBA033C"/>
    <w:rsid w:val="4E073E8E"/>
    <w:rsid w:val="514A7858"/>
    <w:rsid w:val="51C60991"/>
    <w:rsid w:val="520E703B"/>
    <w:rsid w:val="536A198D"/>
    <w:rsid w:val="53AD7BDA"/>
    <w:rsid w:val="545662D5"/>
    <w:rsid w:val="550B72FE"/>
    <w:rsid w:val="55823A64"/>
    <w:rsid w:val="5632283D"/>
    <w:rsid w:val="57E26A3C"/>
    <w:rsid w:val="584A5C33"/>
    <w:rsid w:val="5E020459"/>
    <w:rsid w:val="5EEC1F4F"/>
    <w:rsid w:val="5F724B4A"/>
    <w:rsid w:val="60D45693"/>
    <w:rsid w:val="654233B6"/>
    <w:rsid w:val="656D554C"/>
    <w:rsid w:val="676E65DE"/>
    <w:rsid w:val="698C6808"/>
    <w:rsid w:val="6CCF251B"/>
    <w:rsid w:val="6D292C45"/>
    <w:rsid w:val="725C6321"/>
    <w:rsid w:val="757C5983"/>
    <w:rsid w:val="772774BF"/>
    <w:rsid w:val="787866AE"/>
    <w:rsid w:val="79AE4556"/>
    <w:rsid w:val="7DD12D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首行缩进"/>
    <w:basedOn w:val="1"/>
    <w:qFormat/>
    <w:uiPriority w:val="0"/>
    <w:pPr>
      <w:spacing w:line="360" w:lineRule="auto"/>
      <w:ind w:firstLine="480" w:firstLineChars="200"/>
    </w:pPr>
    <w:rPr>
      <w:rFonts w:ascii="宋体" w:hAnsi="宋体" w:cs="宋体"/>
      <w:kern w:val="0"/>
      <w:sz w:val="24"/>
    </w:rPr>
  </w:style>
  <w:style w:type="table" w:customStyle="1" w:styleId="8">
    <w:name w:val="Normal TableTableNormal18"/>
    <w:semiHidden/>
    <w:qFormat/>
    <w:uiPriority w:val="0"/>
    <w:tblPr>
      <w:tblCellMar>
        <w:top w:w="0" w:type="dxa"/>
        <w:left w:w="108" w:type="dxa"/>
        <w:bottom w:w="0" w:type="dxa"/>
        <w:right w:w="108" w:type="dxa"/>
      </w:tblCellMar>
    </w:tblPr>
  </w:style>
  <w:style w:type="paragraph" w:customStyle="1" w:styleId="9">
    <w:name w:val="NormalNormal13"/>
    <w:next w:val="1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0">
    <w:name w:val="Body Text First Indent 2BodyTextFirstIndent214"/>
    <w:basedOn w:val="11"/>
    <w:unhideWhenUsed/>
    <w:qFormat/>
    <w:uiPriority w:val="99"/>
    <w:pPr>
      <w:ind w:firstLine="420" w:firstLineChars="200"/>
    </w:pPr>
  </w:style>
  <w:style w:type="paragraph" w:customStyle="1" w:styleId="11">
    <w:name w:val="Body Text IndentBodyTextIndent15"/>
    <w:basedOn w:val="9"/>
    <w:unhideWhenUsed/>
    <w:qFormat/>
    <w:uiPriority w:val="99"/>
    <w:pPr>
      <w:spacing w:after="120" w:afterLines="0" w:afterAutospacing="0"/>
      <w:ind w:left="420" w:leftChars="200"/>
    </w:pPr>
  </w:style>
  <w:style w:type="paragraph" w:customStyle="1" w:styleId="12">
    <w:name w:val="Normal1"/>
    <w:qFormat/>
    <w:uiPriority w:val="0"/>
    <w:pPr>
      <w:widowControl w:val="0"/>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6872</Words>
  <Characters>6962</Characters>
  <Lines>0</Lines>
  <Paragraphs>0</Paragraphs>
  <TotalTime>6</TotalTime>
  <ScaleCrop>false</ScaleCrop>
  <LinksUpToDate>false</LinksUpToDate>
  <CharactersWithSpaces>6965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2024-12-02T07:17:00Z</dcterms:created>
  <dc:creator>yueto</dc:creator>
  <cp:lastModifiedBy>小花花</cp:lastModifiedBy>
  <dcterms:modified xsi:type="dcterms:W3CDTF">2026-10-30T04:12:47Z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63B3D829B9D64640A0326918AC262BDC_12</vt:lpwstr>
  </property>
  <property fmtid="{D5CDD505-2E9C-101B-9397-08002B2CF9AE}" pid="4" name="KSOTemplateDocerSaveRecord">
    <vt:lpwstr>eyJoZGlkIjoiODEyZTQzNmJmYzlkNzdiMDEyOTgyMzMzNjVmMWE3ZjUiLCJ1c2VySWQiOiIzNDk2NTEwOTQifQ==</vt:lpwstr>
  </property>
</Properties>
</file>