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ascii="Times New Roman" w:hAnsi="Times New Roman" w:eastAsia="方正小标宋简体" w:cs="Times New Roman"/>
          <w:sz w:val="44"/>
          <w:szCs w:val="44"/>
        </w:rPr>
      </w:pPr>
      <w:bookmarkStart w:id="2" w:name="_GoBack"/>
      <w:bookmarkEnd w:id="2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ascii="Times New Roman" w:hAnsi="Times New Roman" w:eastAsia="方正小标宋简体" w:cs="Times New Roman"/>
          <w:sz w:val="44"/>
          <w:szCs w:val="44"/>
        </w:rPr>
        <w:t>《烟台市“十五五”教育事业发展规划（征求意见稿）》的起草说明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为全面贯彻教育强国、教育强省建设部署，系统谋划“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十五五</w:t>
      </w:r>
      <w:r>
        <w:rPr>
          <w:rFonts w:ascii="Times New Roman" w:hAnsi="Times New Roman" w:eastAsia="仿宋_GB2312" w:cs="Times New Roman"/>
          <w:sz w:val="32"/>
          <w:szCs w:val="32"/>
        </w:rPr>
        <w:t>”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期间烟台市</w:t>
      </w:r>
      <w:r>
        <w:rPr>
          <w:rFonts w:ascii="Times New Roman" w:hAnsi="Times New Roman" w:eastAsia="仿宋_GB2312" w:cs="Times New Roman"/>
          <w:sz w:val="32"/>
          <w:szCs w:val="32"/>
        </w:rPr>
        <w:t>教育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事业</w:t>
      </w:r>
      <w:r>
        <w:rPr>
          <w:rFonts w:ascii="Times New Roman" w:hAnsi="Times New Roman" w:eastAsia="仿宋_GB2312" w:cs="Times New Roman"/>
          <w:sz w:val="32"/>
          <w:szCs w:val="32"/>
        </w:rPr>
        <w:t>高质量发展蓝图，加快建设教育强市，市教育局编制《烟台市“十五五”教育事业发展规划（征求意见稿）》（以下简称《规划》）。现将有关起草情况说明如下：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黑体" w:hAnsi="黑体" w:eastAsia="黑体" w:cs="Times New Roman"/>
          <w:sz w:val="32"/>
          <w:szCs w:val="32"/>
        </w:rPr>
      </w:pPr>
      <w:r>
        <w:rPr>
          <w:rFonts w:ascii="黑体" w:hAnsi="黑体" w:eastAsia="黑体" w:cs="Times New Roman"/>
          <w:sz w:val="32"/>
          <w:szCs w:val="32"/>
        </w:rPr>
        <w:t>一、编制背景与必要性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楷体_GB2312" w:hAnsi="Times New Roman" w:eastAsia="楷体_GB2312" w:cs="Times New Roman"/>
          <w:sz w:val="32"/>
          <w:szCs w:val="32"/>
        </w:rPr>
      </w:pPr>
      <w:r>
        <w:rPr>
          <w:rFonts w:hint="eastAsia" w:ascii="楷体_GB2312" w:hAnsi="Times New Roman" w:eastAsia="楷体_GB2312" w:cs="Times New Roman"/>
          <w:sz w:val="32"/>
          <w:szCs w:val="32"/>
        </w:rPr>
        <w:t>（一）贯彻落实上级战略部署的硬性要求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党的二十大对加快建设教育强国作出系统部署，省委出台《山东教育强省建设纲要（2025-2035年）》，同步编制全省教育“十五五”发展规划；我市同步推进国民经济和社会发展第十五个五年规划纲要编制，亟需配套出台市级教育专项规划，将国家、省教育战略转化为烟台落地举措，构建上下贯通、层级协同的教育发展政策体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楷体_GB2312" w:hAnsi="Times New Roman" w:eastAsia="楷体_GB2312" w:cs="Times New Roman"/>
          <w:sz w:val="32"/>
          <w:szCs w:val="32"/>
        </w:rPr>
      </w:pPr>
      <w:r>
        <w:rPr>
          <w:rFonts w:hint="eastAsia" w:ascii="楷体_GB2312" w:hAnsi="Times New Roman" w:eastAsia="楷体_GB2312" w:cs="Times New Roman"/>
          <w:sz w:val="32"/>
          <w:szCs w:val="32"/>
        </w:rPr>
        <w:t>（二）破解烟台教育发展现实短板的客观需要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“十四五”期间，我市教育普及水平、办学条件、师资队伍、产教融合、智慧教育建设取得阶段性成效，但仍存在结构性、均衡性、内涵性突出问题：一是城乡、县域、校际优质资源供给不均衡，随人口变动基础教育学位布局动态适配不足；二是高等教育层次能级有待提升，驻烟高校博士点、本科职业院校数量偏少，校地融合、科教融汇深度不够；三是职业教育与全市</w:t>
      </w:r>
      <w:bookmarkStart w:id="0" w:name="OLE_LINK6"/>
      <w:bookmarkStart w:id="1" w:name="OLE_LINK5"/>
      <w:r>
        <w:rPr>
          <w:rFonts w:ascii="Times New Roman" w:hAnsi="Times New Roman" w:eastAsia="仿宋_GB2312" w:cs="Times New Roman"/>
          <w:sz w:val="32"/>
          <w:szCs w:val="32"/>
        </w:rPr>
        <w:t>“三级五集群”产业</w:t>
      </w:r>
      <w:bookmarkEnd w:id="0"/>
      <w:bookmarkEnd w:id="1"/>
      <w:r>
        <w:rPr>
          <w:rFonts w:ascii="Times New Roman" w:hAnsi="Times New Roman" w:eastAsia="仿宋_GB2312" w:cs="Times New Roman"/>
          <w:sz w:val="32"/>
          <w:szCs w:val="32"/>
        </w:rPr>
        <w:t>匹配度仍需加强，高技能人才供给存在缺口；四是教师队伍高层次领军人才总量不足，“双师型”教师、人工智能专业师资储备薄弱；五是立德树人体系特色化、全环境协同育人机制不够完善，教育数字化、治理现代化改革仍需深化。编制《规划》，聚焦短板弱项系统施策，是推动烟台教育提质增效的必然选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楷体_GB2312" w:hAnsi="Times New Roman" w:eastAsia="楷体_GB2312" w:cs="Times New Roman"/>
          <w:sz w:val="32"/>
          <w:szCs w:val="32"/>
        </w:rPr>
      </w:pPr>
      <w:r>
        <w:rPr>
          <w:rFonts w:hint="eastAsia" w:ascii="楷体_GB2312" w:hAnsi="Times New Roman" w:eastAsia="楷体_GB2312" w:cs="Times New Roman"/>
          <w:sz w:val="32"/>
          <w:szCs w:val="32"/>
        </w:rPr>
        <w:t>（三）服务全市绿色低碳高质量发展的现实支撑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烟台地处胶东经济圈核心，海洋经济、先进制造、生物医药、航空航天等产业加速迭代，新质生产力发展对创新人才、技术技能人才、高素质劳动者供给提出更高要求。通过统筹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学前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教育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、义务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教育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、高中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教育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、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职业教育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、高等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教育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、终身教育</w:t>
      </w:r>
      <w:r>
        <w:rPr>
          <w:rFonts w:ascii="Times New Roman" w:hAnsi="Times New Roman" w:eastAsia="仿宋_GB2312" w:cs="Times New Roman"/>
          <w:sz w:val="32"/>
          <w:szCs w:val="32"/>
        </w:rPr>
        <w:t>全学段布局，打通教育、科技、人才一体化发展通道，能够强化教育对城市产业升级、区域协同、对外开放的支撑作用，为全市经济社会高质量发展提供坚实人才保障与智力支撑。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楷体_GB2312" w:hAnsi="Times New Roman" w:eastAsia="楷体_GB2312" w:cs="Times New Roman"/>
          <w:sz w:val="32"/>
          <w:szCs w:val="32"/>
        </w:rPr>
      </w:pPr>
      <w:r>
        <w:rPr>
          <w:rFonts w:hint="eastAsia" w:ascii="楷体_GB2312" w:hAnsi="Times New Roman" w:eastAsia="楷体_GB2312" w:cs="Times New Roman"/>
          <w:sz w:val="32"/>
          <w:szCs w:val="32"/>
        </w:rPr>
        <w:t>（四）回应群众优质均衡教育期盼的民生举措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广大</w:t>
      </w:r>
      <w:r>
        <w:rPr>
          <w:rFonts w:ascii="Times New Roman" w:hAnsi="Times New Roman" w:eastAsia="仿宋_GB2312" w:cs="Times New Roman"/>
          <w:sz w:val="32"/>
          <w:szCs w:val="32"/>
        </w:rPr>
        <w:t>群众对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学前教育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公益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普惠、</w:t>
      </w:r>
      <w:r>
        <w:rPr>
          <w:rFonts w:ascii="Times New Roman" w:hAnsi="Times New Roman" w:eastAsia="仿宋_GB2312" w:cs="Times New Roman"/>
          <w:sz w:val="32"/>
          <w:szCs w:val="32"/>
        </w:rPr>
        <w:t>义务教育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优质</w:t>
      </w:r>
      <w:r>
        <w:rPr>
          <w:rFonts w:ascii="Times New Roman" w:hAnsi="Times New Roman" w:eastAsia="仿宋_GB2312" w:cs="Times New Roman"/>
          <w:sz w:val="32"/>
          <w:szCs w:val="32"/>
        </w:rPr>
        <w:t>均衡、高中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教育</w:t>
      </w:r>
      <w:r>
        <w:rPr>
          <w:rFonts w:ascii="Times New Roman" w:hAnsi="Times New Roman" w:eastAsia="仿宋_GB2312" w:cs="Times New Roman"/>
          <w:sz w:val="32"/>
          <w:szCs w:val="32"/>
        </w:rPr>
        <w:t>特色多样、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职业教育融通融汇以及</w:t>
      </w:r>
      <w:r>
        <w:rPr>
          <w:rFonts w:ascii="Times New Roman" w:hAnsi="Times New Roman" w:eastAsia="仿宋_GB2312" w:cs="Times New Roman"/>
          <w:sz w:val="32"/>
          <w:szCs w:val="32"/>
        </w:rPr>
        <w:t>便捷终身学习、健康育人环境的需求持续升级，控辍保学、近视防控、心理健康、课后服务、特殊群体关爱等民生诉求凸显。《规划》围绕办好人民满意教育，扩大普惠优质资源供给，健全“五位一体”协同育人机制，完善教育民生保障体系，持续提升群众教育获得感、幸福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黑体" w:hAnsi="黑体" w:eastAsia="黑体" w:cs="Times New Roman"/>
          <w:sz w:val="32"/>
          <w:szCs w:val="32"/>
        </w:rPr>
      </w:pPr>
      <w:r>
        <w:rPr>
          <w:rFonts w:hint="eastAsia" w:ascii="黑体" w:hAnsi="黑体" w:eastAsia="黑体" w:cs="Times New Roman"/>
          <w:sz w:val="32"/>
          <w:szCs w:val="32"/>
        </w:rPr>
        <w:t>二、起草工作过程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楷体_GB2312" w:hAnsi="Times New Roman" w:eastAsia="楷体_GB2312" w:cs="Times New Roman"/>
          <w:sz w:val="32"/>
          <w:szCs w:val="32"/>
        </w:rPr>
      </w:pPr>
      <w:r>
        <w:rPr>
          <w:rFonts w:hint="eastAsia" w:ascii="楷体_GB2312" w:hAnsi="Times New Roman" w:eastAsia="楷体_GB2312" w:cs="Times New Roman"/>
          <w:sz w:val="32"/>
          <w:szCs w:val="32"/>
        </w:rPr>
        <w:t>（一）启动前期调研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2025年末，按照全市“十五五”规划统一部署，市教育局成立规划编制工作专班，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全面</w:t>
      </w:r>
      <w:r>
        <w:rPr>
          <w:rFonts w:ascii="Times New Roman" w:hAnsi="Times New Roman" w:eastAsia="仿宋_GB2312" w:cs="Times New Roman"/>
          <w:sz w:val="32"/>
          <w:szCs w:val="32"/>
        </w:rPr>
        <w:t>梳理“十四五”成效、现存短板、未来五年学龄人口变化、产业人才需求，形成教育发展基础调研报告，明确规划编制核心方向、重点指标与攻坚任务。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楷体_GB2312" w:hAnsi="Times New Roman" w:eastAsia="楷体_GB2312" w:cs="Times New Roman"/>
          <w:sz w:val="32"/>
          <w:szCs w:val="32"/>
        </w:rPr>
      </w:pPr>
      <w:r>
        <w:rPr>
          <w:rFonts w:hint="eastAsia" w:ascii="楷体_GB2312" w:hAnsi="Times New Roman" w:eastAsia="楷体_GB2312" w:cs="Times New Roman"/>
          <w:sz w:val="32"/>
          <w:szCs w:val="32"/>
        </w:rPr>
        <w:t>（二）搭建规划框架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先后组织多轮内部研讨、行业座谈，确定主体框架，同步对标省级指标设定我市2030年阶段性发展目标。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楷体_GB2312" w:hAnsi="黑体" w:eastAsia="楷体_GB2312" w:cs="Times New Roman"/>
          <w:sz w:val="32"/>
          <w:szCs w:val="32"/>
        </w:rPr>
      </w:pPr>
      <w:r>
        <w:rPr>
          <w:rFonts w:hint="eastAsia" w:ascii="楷体_GB2312" w:hAnsi="黑体" w:eastAsia="楷体_GB2312" w:cs="Times New Roman"/>
          <w:sz w:val="32"/>
          <w:szCs w:val="32"/>
        </w:rPr>
        <w:t>（三）完善文本内容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对照上级政策逐条对标校准，对资源布局、师资建设、产教融合、教育数智化、安全法治等板块多次修改优化；对接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专业部门</w:t>
      </w:r>
      <w:r>
        <w:rPr>
          <w:rFonts w:ascii="Times New Roman" w:hAnsi="Times New Roman" w:eastAsia="仿宋_GB2312" w:cs="Times New Roman"/>
          <w:sz w:val="32"/>
          <w:szCs w:val="32"/>
        </w:rPr>
        <w:t>校准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相关工程专业</w:t>
      </w:r>
      <w:r>
        <w:rPr>
          <w:rFonts w:ascii="Times New Roman" w:hAnsi="Times New Roman" w:eastAsia="仿宋_GB2312" w:cs="Times New Roman"/>
          <w:sz w:val="32"/>
          <w:szCs w:val="32"/>
        </w:rPr>
        <w:t>表述；结合人口波动、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科教资源布局</w:t>
      </w:r>
      <w:r>
        <w:rPr>
          <w:rFonts w:ascii="Times New Roman" w:hAnsi="Times New Roman" w:eastAsia="仿宋_GB2312" w:cs="Times New Roman"/>
          <w:sz w:val="32"/>
          <w:szCs w:val="32"/>
        </w:rPr>
        <w:t>、人工智能教育试点等烟台特色工作充实举措；分层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次</w:t>
      </w:r>
      <w:r>
        <w:rPr>
          <w:rFonts w:ascii="Times New Roman" w:hAnsi="Times New Roman" w:eastAsia="仿宋_GB2312" w:cs="Times New Roman"/>
          <w:sz w:val="32"/>
          <w:szCs w:val="32"/>
        </w:rPr>
        <w:t>征求、收集资源配置、教师待遇、课后服务、职教升学、智慧教育等方面修改建议，逐条吸纳完善，经内部审议修改后，形成本次对外公示的《规划（征求意见稿）》。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黑体" w:hAnsi="黑体" w:eastAsia="黑体" w:cs="Times New Roman"/>
          <w:sz w:val="32"/>
          <w:szCs w:val="32"/>
        </w:rPr>
      </w:pPr>
      <w:r>
        <w:rPr>
          <w:rFonts w:hint="eastAsia" w:ascii="黑体" w:hAnsi="黑体" w:eastAsia="黑体" w:cs="Times New Roman"/>
          <w:sz w:val="32"/>
          <w:szCs w:val="32"/>
        </w:rPr>
        <w:t>三</w:t>
      </w:r>
      <w:r>
        <w:rPr>
          <w:rFonts w:ascii="黑体" w:hAnsi="黑体" w:eastAsia="黑体" w:cs="Times New Roman"/>
          <w:sz w:val="32"/>
          <w:szCs w:val="32"/>
        </w:rPr>
        <w:t>、《规划》总体框架与核心内容说明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《规划》全文分为四大部分正文+附件全市“十五五”教育重点工程，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共2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9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条主体条款，配套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7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大专项行动计划，</w:t>
      </w:r>
      <w:r>
        <w:rPr>
          <w:rFonts w:ascii="Times New Roman" w:hAnsi="Times New Roman" w:eastAsia="仿宋_GB2312" w:cs="Times New Roman"/>
          <w:sz w:val="32"/>
          <w:szCs w:val="32"/>
        </w:rPr>
        <w:t>覆盖各级各类教育全领域。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楷体_GB2312" w:hAnsi="Times New Roman" w:eastAsia="楷体_GB2312" w:cs="Times New Roman"/>
          <w:sz w:val="32"/>
          <w:szCs w:val="32"/>
        </w:rPr>
      </w:pPr>
      <w:r>
        <w:rPr>
          <w:rFonts w:hint="eastAsia" w:ascii="楷体_GB2312" w:hAnsi="Times New Roman" w:eastAsia="楷体_GB2312" w:cs="Times New Roman"/>
          <w:sz w:val="32"/>
          <w:szCs w:val="32"/>
        </w:rPr>
        <w:t>（一）第一部分：总体要求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指导思想：以习近平新时代中国特色社会主义思想为根本遵循，全面落实党的教育方针，锚定教育强市建设，一体推进教育科技人才协同发展，明确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到</w:t>
      </w:r>
      <w:r>
        <w:rPr>
          <w:rFonts w:ascii="Times New Roman" w:hAnsi="Times New Roman" w:eastAsia="仿宋_GB2312" w:cs="Times New Roman"/>
          <w:sz w:val="32"/>
          <w:szCs w:val="32"/>
        </w:rPr>
        <w:t>2030年，教育强市建设取得显著成效、高质量教育体系基本建成，办学水平稳居全省前列。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核心量化指标：对标省“十五五”指标，设置学前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教育毛</w:t>
      </w:r>
      <w:r>
        <w:rPr>
          <w:rFonts w:ascii="Times New Roman" w:hAnsi="Times New Roman" w:eastAsia="仿宋_GB2312" w:cs="Times New Roman"/>
          <w:sz w:val="32"/>
          <w:szCs w:val="32"/>
        </w:rPr>
        <w:t>入园率、公办园占比、学生体质健康优良率、近视防控、高中研究生学历教师、职校“双师型”教师等刚性指标，全部设定2030年提升目标，实现可监测、可考核。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楷体_GB2312" w:hAnsi="Times New Roman" w:eastAsia="楷体_GB2312" w:cs="Times New Roman"/>
          <w:sz w:val="32"/>
          <w:szCs w:val="32"/>
        </w:rPr>
      </w:pPr>
      <w:r>
        <w:rPr>
          <w:rFonts w:hint="eastAsia" w:ascii="楷体_GB2312" w:hAnsi="Times New Roman" w:eastAsia="楷体_GB2312" w:cs="Times New Roman"/>
          <w:sz w:val="32"/>
          <w:szCs w:val="32"/>
        </w:rPr>
        <w:t>（二）第二部分：五大战略任务（1—19条）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围绕立德树人、科教人才支撑、公共服务提质、教师队伍建设、资源布局优化五大维度系统布局。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1.落实立德树人根本任务。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着力打造具有烟台特色的德育课程和德育品牌</w:t>
      </w:r>
      <w:r>
        <w:rPr>
          <w:rFonts w:ascii="Times New Roman" w:hAnsi="Times New Roman" w:eastAsia="仿宋_GB2312" w:cs="Times New Roman"/>
          <w:sz w:val="32"/>
          <w:szCs w:val="32"/>
        </w:rPr>
        <w:t>，健全全环境立德树人；强化科学教育、体育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、</w:t>
      </w:r>
      <w:r>
        <w:rPr>
          <w:rFonts w:ascii="Times New Roman" w:hAnsi="Times New Roman" w:eastAsia="仿宋_GB2312" w:cs="Times New Roman"/>
          <w:sz w:val="32"/>
          <w:szCs w:val="32"/>
        </w:rPr>
        <w:t>美育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、</w:t>
      </w:r>
      <w:r>
        <w:rPr>
          <w:rFonts w:ascii="Times New Roman" w:hAnsi="Times New Roman" w:eastAsia="仿宋_GB2312" w:cs="Times New Roman"/>
          <w:sz w:val="32"/>
          <w:szCs w:val="32"/>
        </w:rPr>
        <w:t>劳动教育、心理健康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教育</w:t>
      </w:r>
      <w:r>
        <w:rPr>
          <w:rFonts w:ascii="Times New Roman" w:hAnsi="Times New Roman" w:eastAsia="仿宋_GB2312" w:cs="Times New Roman"/>
          <w:sz w:val="32"/>
          <w:szCs w:val="32"/>
        </w:rPr>
        <w:t>、家校社协同，落实每日体育活动、近视脊柱防控、急救设施全覆盖等硬性民生举措。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2.强化教育服务科技与产业。推进驻烟高校提质扩容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，校地融合发展</w:t>
      </w:r>
      <w:r>
        <w:rPr>
          <w:rFonts w:ascii="Times New Roman" w:hAnsi="Times New Roman" w:eastAsia="仿宋_GB2312" w:cs="Times New Roman"/>
          <w:sz w:val="32"/>
          <w:szCs w:val="32"/>
        </w:rPr>
        <w:t>；构建现代职教体系，做强市域产教联合体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、行业产教融合共同体</w:t>
      </w:r>
      <w:r>
        <w:rPr>
          <w:rFonts w:ascii="Times New Roman" w:hAnsi="Times New Roman" w:eastAsia="仿宋_GB2312" w:cs="Times New Roman"/>
          <w:sz w:val="32"/>
          <w:szCs w:val="32"/>
        </w:rPr>
        <w:t>；对接全市“三级五集群”动态调整高校、职校学科专业，适配新质生产力人才需求。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3.全面提升教育公共服务。分学段明确发展路径：学前优质普惠、义务教育优质均衡、高中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阶段学校</w:t>
      </w:r>
      <w:r>
        <w:rPr>
          <w:rFonts w:ascii="Times New Roman" w:hAnsi="Times New Roman" w:eastAsia="仿宋_GB2312" w:cs="Times New Roman"/>
          <w:sz w:val="32"/>
          <w:szCs w:val="32"/>
        </w:rPr>
        <w:t>多样化发展；保障随迁子女、残疾儿童、留守儿童等特殊群体权益；规范民办教育与校外培训；完善终身学习体系；扩大教育对外开放，建设海外“班</w:t>
      </w:r>
      <w:r>
        <w:rPr>
          <w:rFonts w:ascii="Times New Roman" w:hAnsi="Times New Roman" w:eastAsia="微软雅黑" w:cs="Times New Roman"/>
          <w:sz w:val="32"/>
          <w:szCs w:val="32"/>
        </w:rPr>
        <w:t>・</w:t>
      </w:r>
      <w:r>
        <w:rPr>
          <w:rFonts w:ascii="Times New Roman" w:hAnsi="Times New Roman" w:eastAsia="仿宋_GB2312" w:cs="Times New Roman"/>
          <w:sz w:val="32"/>
          <w:szCs w:val="32"/>
        </w:rPr>
        <w:t>墨学院”。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4.打造高素质专业化教师队伍。实施教育家精神铸魂强师，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推进实施烟台市教育领军人才建设工程</w:t>
      </w:r>
      <w:r>
        <w:rPr>
          <w:rFonts w:ascii="Times New Roman" w:hAnsi="Times New Roman" w:eastAsia="仿宋_GB2312" w:cs="Times New Roman"/>
          <w:sz w:val="32"/>
          <w:szCs w:val="32"/>
        </w:rPr>
        <w:t>；健全教师工资联动增长机制，减轻非教学负担。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5.动态优化教育资源空间布局。建立适配人口变化的资源配置机制，扩大普高学位、推进集团化、一贯制办学；重点强化乡镇寄宿制学校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楷体_GB2312" w:hAnsi="Times New Roman" w:eastAsia="楷体_GB2312" w:cs="Times New Roman"/>
          <w:sz w:val="32"/>
          <w:szCs w:val="32"/>
        </w:rPr>
      </w:pPr>
      <w:r>
        <w:rPr>
          <w:rFonts w:hint="eastAsia" w:ascii="楷体_GB2312" w:hAnsi="Times New Roman" w:eastAsia="楷体_GB2312" w:cs="Times New Roman"/>
          <w:sz w:val="32"/>
          <w:szCs w:val="32"/>
        </w:rPr>
        <w:t>（三）第三部分：</w:t>
      </w:r>
      <w:r>
        <w:rPr>
          <w:rFonts w:hint="eastAsia" w:ascii="楷体_GB2312" w:hAnsi="Times New Roman" w:eastAsia="楷体_GB2312" w:cs="Times New Roman"/>
          <w:sz w:val="32"/>
          <w:szCs w:val="32"/>
          <w:lang w:eastAsia="zh-CN"/>
        </w:rPr>
        <w:t>深化教育</w:t>
      </w:r>
      <w:r>
        <w:rPr>
          <w:rFonts w:hint="eastAsia" w:ascii="楷体_GB2312" w:hAnsi="Times New Roman" w:eastAsia="楷体_GB2312" w:cs="Times New Roman"/>
          <w:sz w:val="32"/>
          <w:szCs w:val="32"/>
        </w:rPr>
        <w:t>领域综合改革（20—2</w:t>
      </w:r>
      <w:r>
        <w:rPr>
          <w:rFonts w:hint="eastAsia" w:ascii="楷体_GB2312" w:hAnsi="Times New Roman" w:eastAsia="楷体_GB2312" w:cs="Times New Roman"/>
          <w:sz w:val="32"/>
          <w:szCs w:val="32"/>
          <w:lang w:val="en-US" w:eastAsia="zh-CN"/>
        </w:rPr>
        <w:t>6</w:t>
      </w:r>
      <w:r>
        <w:rPr>
          <w:rFonts w:hint="eastAsia" w:ascii="楷体_GB2312" w:hAnsi="Times New Roman" w:eastAsia="楷体_GB2312" w:cs="Times New Roman"/>
          <w:sz w:val="32"/>
          <w:szCs w:val="32"/>
        </w:rPr>
        <w:t>条）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聚焦制约教育高质量发展的体制机制障碍，推出系统性改革举措：教育科技人才一体改革、教育管理体制改革、教师队伍综合改革、教科研改革、督导评价改革、教育数智化变革、法治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建设</w:t>
      </w:r>
      <w:r>
        <w:rPr>
          <w:rFonts w:ascii="Times New Roman" w:hAnsi="Times New Roman" w:eastAsia="仿宋_GB2312" w:cs="Times New Roman"/>
          <w:sz w:val="32"/>
          <w:szCs w:val="32"/>
        </w:rPr>
        <w:t>改革，重点突出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赋能产业发展和绿色低碳高质量发展示范城市建设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、健全完善市县结合的基础教育管理体制、中小学教师“县管校聘”管理改革、教研成果实践转化与再创新、“督政、督学、评估监测”三位一体教育督导体系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建设、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人工智能教育全域普及、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深化依法治校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等突破性改革任务。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楷体_GB2312" w:hAnsi="Times New Roman" w:eastAsia="楷体_GB2312" w:cs="Times New Roman"/>
          <w:sz w:val="32"/>
          <w:szCs w:val="32"/>
          <w:highlight w:val="none"/>
        </w:rPr>
      </w:pPr>
      <w:r>
        <w:rPr>
          <w:rFonts w:hint="eastAsia" w:ascii="楷体_GB2312" w:hAnsi="Times New Roman" w:eastAsia="楷体_GB2312" w:cs="Times New Roman"/>
          <w:sz w:val="32"/>
          <w:szCs w:val="32"/>
          <w:highlight w:val="none"/>
        </w:rPr>
        <w:t>（四）第四部分：组织实施（</w:t>
      </w:r>
      <w:r>
        <w:rPr>
          <w:rFonts w:hint="eastAsia" w:ascii="楷体_GB2312" w:hAnsi="Times New Roman" w:eastAsia="楷体_GB2312" w:cs="Times New Roman"/>
          <w:sz w:val="32"/>
          <w:szCs w:val="32"/>
          <w:highlight w:val="none"/>
          <w:lang w:val="en-US" w:eastAsia="zh-CN"/>
        </w:rPr>
        <w:t>27-</w:t>
      </w:r>
      <w:r>
        <w:rPr>
          <w:rFonts w:hint="eastAsia" w:ascii="楷体_GB2312" w:hAnsi="Times New Roman" w:eastAsia="楷体_GB2312" w:cs="Times New Roman"/>
          <w:sz w:val="32"/>
          <w:szCs w:val="32"/>
          <w:highlight w:val="none"/>
        </w:rPr>
        <w:t>28条）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突出加强党对教育工作的全面领导、强化教育要素保障、构建安全稳定体系，确保《规划》落地落实：健全学校基层党组织体系，落实教育经费投入保障，守牢学校安全底线</w:t>
      </w:r>
      <w:r>
        <w:rPr>
          <w:rFonts w:ascii="Times New Roman" w:hAnsi="Times New Roman" w:eastAsia="仿宋_GB2312" w:cs="Times New Roman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楷体_GB2312" w:hAnsi="Times New Roman" w:eastAsia="楷体_GB2312" w:cs="Times New Roman"/>
          <w:sz w:val="32"/>
          <w:szCs w:val="32"/>
        </w:rPr>
      </w:pPr>
      <w:r>
        <w:rPr>
          <w:rFonts w:hint="eastAsia" w:ascii="楷体_GB2312" w:hAnsi="Times New Roman" w:eastAsia="楷体_GB2312" w:cs="Times New Roman"/>
          <w:sz w:val="32"/>
          <w:szCs w:val="32"/>
        </w:rPr>
        <w:t>（五）附件：</w:t>
      </w:r>
      <w:r>
        <w:rPr>
          <w:rFonts w:hint="eastAsia" w:ascii="楷体_GB2312" w:hAnsi="Times New Roman" w:eastAsia="楷体_GB2312" w:cs="Times New Roman"/>
          <w:sz w:val="32"/>
          <w:szCs w:val="32"/>
          <w:highlight w:val="none"/>
          <w:lang w:eastAsia="zh-CN"/>
        </w:rPr>
        <w:t>七</w:t>
      </w:r>
      <w:r>
        <w:rPr>
          <w:rFonts w:hint="eastAsia" w:ascii="楷体_GB2312" w:hAnsi="Times New Roman" w:eastAsia="楷体_GB2312" w:cs="Times New Roman"/>
          <w:sz w:val="32"/>
          <w:szCs w:val="32"/>
          <w:highlight w:val="none"/>
        </w:rPr>
        <w:t>大“</w:t>
      </w:r>
      <w:r>
        <w:rPr>
          <w:rFonts w:hint="eastAsia" w:ascii="楷体_GB2312" w:hAnsi="Times New Roman" w:eastAsia="楷体_GB2312" w:cs="Times New Roman"/>
          <w:sz w:val="32"/>
          <w:szCs w:val="32"/>
        </w:rPr>
        <w:t>十五五”教育重点工程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配套设置可落地、可推进的专项行动计划，作为规划实施核心抓手：全环境立德树人品牌打造计划、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学生体质健康提升计划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、</w:t>
      </w:r>
      <w:r>
        <w:rPr>
          <w:rFonts w:ascii="Times New Roman" w:hAnsi="Times New Roman" w:eastAsia="仿宋_GB2312" w:cs="Times New Roman"/>
          <w:sz w:val="32"/>
          <w:szCs w:val="32"/>
        </w:rPr>
        <w:t>基础教育扩优提质计划、职业教育“新双高”建设计划、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中小学教师能力提升计划</w:t>
      </w:r>
      <w:r>
        <w:rPr>
          <w:rFonts w:ascii="Times New Roman" w:hAnsi="Times New Roman" w:eastAsia="仿宋_GB2312" w:cs="Times New Roman"/>
          <w:sz w:val="32"/>
          <w:szCs w:val="32"/>
        </w:rPr>
        <w:t>、教育治理数智化变革计划、人工智能教育普及深化计划。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黑体" w:hAnsi="黑体" w:eastAsia="黑体" w:cs="Times New Roman"/>
          <w:sz w:val="32"/>
          <w:szCs w:val="32"/>
        </w:rPr>
      </w:pPr>
      <w:r>
        <w:rPr>
          <w:rFonts w:hint="eastAsia" w:ascii="黑体" w:hAnsi="黑体" w:eastAsia="黑体" w:cs="Times New Roman"/>
          <w:sz w:val="32"/>
          <w:szCs w:val="32"/>
        </w:rPr>
        <w:t>四</w:t>
      </w:r>
      <w:r>
        <w:rPr>
          <w:rFonts w:ascii="黑体" w:hAnsi="黑体" w:eastAsia="黑体" w:cs="Times New Roman"/>
          <w:sz w:val="32"/>
          <w:szCs w:val="32"/>
        </w:rPr>
        <w:t>、编制特点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楷体_GB2312" w:hAnsi="Times New Roman" w:eastAsia="楷体_GB2312" w:cs="Times New Roman"/>
          <w:sz w:val="32"/>
          <w:szCs w:val="32"/>
        </w:rPr>
      </w:pPr>
      <w:r>
        <w:rPr>
          <w:rFonts w:hint="eastAsia" w:ascii="楷体_GB2312" w:hAnsi="Times New Roman" w:eastAsia="楷体_GB2312" w:cs="Times New Roman"/>
          <w:sz w:val="32"/>
          <w:szCs w:val="32"/>
        </w:rPr>
        <w:t>（一）对标上位，坚守政策底线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全面对齐教育强国、教育强省各项硬性指标、改革任务，确保国家、省部署在烟台不折不扣落地；严格落实“双减”、义务教育均衡、学前普惠、师德师风、教育经费保障、校园安全等刚性政策要求，不降低标准、不弱化任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楷体_GB2312" w:hAnsi="Times New Roman" w:eastAsia="楷体_GB2312" w:cs="Times New Roman"/>
          <w:sz w:val="32"/>
          <w:szCs w:val="32"/>
        </w:rPr>
      </w:pPr>
      <w:r>
        <w:rPr>
          <w:rFonts w:ascii="楷体_GB2312" w:hAnsi="Times New Roman" w:eastAsia="楷体_GB2312" w:cs="Times New Roman"/>
          <w:sz w:val="32"/>
          <w:szCs w:val="32"/>
        </w:rPr>
        <w:t>（二）立足市情，凸显烟台特色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紧密结合烟台海洋文化、产业结构、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高校资源、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区域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发展布局：打造本土德育品牌；围绕先进制造、海</w:t>
      </w:r>
      <w:r>
        <w:rPr>
          <w:rFonts w:ascii="Times New Roman" w:hAnsi="Times New Roman" w:eastAsia="仿宋_GB2312" w:cs="Times New Roman"/>
          <w:sz w:val="32"/>
          <w:szCs w:val="32"/>
        </w:rPr>
        <w:t>洋、医药、航空航天布局学科专业；明确驻烟高校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扩容提质</w:t>
      </w:r>
      <w:r>
        <w:rPr>
          <w:rFonts w:ascii="Times New Roman" w:hAnsi="Times New Roman" w:eastAsia="仿宋_GB2312" w:cs="Times New Roman"/>
          <w:sz w:val="32"/>
          <w:szCs w:val="32"/>
        </w:rPr>
        <w:t>、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校地融合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等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各项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任务；</w:t>
      </w:r>
      <w:r>
        <w:rPr>
          <w:rFonts w:ascii="Times New Roman" w:hAnsi="Times New Roman" w:eastAsia="仿宋_GB2312" w:cs="Times New Roman"/>
          <w:sz w:val="32"/>
          <w:szCs w:val="32"/>
        </w:rPr>
        <w:t>将人口动态调整、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服务经济社会发展</w:t>
      </w:r>
      <w:r>
        <w:rPr>
          <w:rFonts w:ascii="Times New Roman" w:hAnsi="Times New Roman" w:eastAsia="仿宋_GB2312" w:cs="Times New Roman"/>
          <w:sz w:val="32"/>
          <w:szCs w:val="32"/>
        </w:rPr>
        <w:t>、跨县域教育资源统筹作为布局核心举措。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楷体_GB2312" w:hAnsi="Times New Roman" w:eastAsia="楷体_GB2312" w:cs="Times New Roman"/>
          <w:sz w:val="32"/>
          <w:szCs w:val="32"/>
        </w:rPr>
      </w:pPr>
      <w:r>
        <w:rPr>
          <w:rFonts w:hint="eastAsia" w:ascii="楷体_GB2312" w:hAnsi="Times New Roman" w:eastAsia="楷体_GB2312" w:cs="Times New Roman"/>
          <w:sz w:val="32"/>
          <w:szCs w:val="32"/>
        </w:rPr>
        <w:t>（三）问题导向，兼顾均衡与提质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直面城乡教育差距、师资结构短板、人才供给与产业脱节、数字化应用浅层化等突出问题，每条任务均配套对应解决方案，既抓普惠公平，又抓内涵提质。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楷体_GB2312" w:hAnsi="Times New Roman" w:eastAsia="楷体_GB2312" w:cs="Times New Roman"/>
          <w:sz w:val="32"/>
          <w:szCs w:val="32"/>
        </w:rPr>
      </w:pPr>
      <w:r>
        <w:rPr>
          <w:rFonts w:hint="eastAsia" w:ascii="楷体_GB2312" w:hAnsi="Times New Roman" w:eastAsia="楷体_GB2312" w:cs="Times New Roman"/>
          <w:sz w:val="32"/>
          <w:szCs w:val="32"/>
        </w:rPr>
        <w:t>（四）量化可考，强化实操落地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规划设置系列量化约束性、预期性指标，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各</w:t>
      </w:r>
      <w:r>
        <w:rPr>
          <w:rFonts w:ascii="Times New Roman" w:hAnsi="Times New Roman" w:eastAsia="仿宋_GB2312" w:cs="Times New Roman"/>
          <w:sz w:val="32"/>
          <w:szCs w:val="32"/>
        </w:rPr>
        <w:t>重点工程全部明确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措施、任务</w:t>
      </w:r>
      <w:r>
        <w:rPr>
          <w:rFonts w:ascii="Times New Roman" w:hAnsi="Times New Roman" w:eastAsia="仿宋_GB2312" w:cs="Times New Roman"/>
          <w:sz w:val="32"/>
          <w:szCs w:val="32"/>
        </w:rPr>
        <w:t>、建设目标；改革举措明确硬性标准，避免空泛表述，便于后续分解分工、年度监测、督导评估。</w:t>
      </w:r>
    </w:p>
    <w:p/>
    <w:sectPr>
      <w:pgSz w:w="11906" w:h="16838"/>
      <w:pgMar w:top="2098" w:right="1531" w:bottom="1984" w:left="153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true"/>
  <w:bordersDoNotSurroundFooter w:val="true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AFA70026"/>
    <w:rsid w:val="AFA70026"/>
    <w:rsid w:val="F752AB8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Style w:val="2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2.33333333333333</TotalTime>
  <ScaleCrop>false</ScaleCrop>
  <LinksUpToDate>false</LinksUpToDate>
  <CharactersWithSpaces>0</CharactersWithSpaces>
  <Application>WPS Office_11.8.2.10290_F1E327BC-269C-435d-A152-05C5408002CA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2026-08-13T01:02:00Z</dcterms:created>
  <dc:creator>user</dc:creator>
  <cp:lastModifiedBy>user</cp:lastModifiedBy>
  <dcterms:modified xsi:type="dcterms:W3CDTF">2026-08-12T17:06:06Z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2052-11.8.2.10290</vt:lpwstr>
  </property>
</Properties>
</file>