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附件</w:t>
      </w:r>
    </w:p>
    <w:p>
      <w:pPr>
        <w:spacing w:line="560" w:lineRule="exact"/>
        <w:jc w:val="center"/>
        <w:rPr>
          <w:rFonts w:hint="eastAsia" w:ascii="黑体" w:eastAsia="黑体"/>
          <w:color w:val="000000"/>
        </w:rPr>
      </w:pPr>
    </w:p>
    <w:p>
      <w:pPr>
        <w:spacing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重要制度建设任务清单与职责分工</w:t>
      </w:r>
    </w:p>
    <w:p>
      <w:pPr>
        <w:spacing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</w:p>
    <w:p>
      <w:pPr>
        <w:spacing w:line="550" w:lineRule="exact"/>
        <w:ind w:firstLine="640" w:firstLineChars="200"/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一、行政运行领域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1.科学决策制度。</w:t>
      </w:r>
      <w:r>
        <w:rPr>
          <w:rFonts w:hint="eastAsia"/>
          <w:color w:val="000000"/>
        </w:rPr>
        <w:t>进一步规范决策程序，严格公众参与、专家论证、风险评估、合法性审查、集体决策等环节，完善决策机制，提高决策的科学化、民主化、法治化水平。</w:t>
      </w:r>
      <w:r>
        <w:rPr>
          <w:rFonts w:hint="eastAsia" w:ascii="楷体_GB2312" w:eastAsia="楷体_GB2312"/>
          <w:color w:val="000000"/>
        </w:rPr>
        <w:t>（牵头部门：市司法局、市政府办公室）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2.政府智库制度。</w:t>
      </w:r>
      <w:r>
        <w:rPr>
          <w:rFonts w:hint="eastAsia"/>
          <w:color w:val="000000"/>
        </w:rPr>
        <w:t>选聘行业领军人物和专家学者作为市政府“智库”成员，协助开展经济社会发展全局性、战略性、前瞻性、长期性重大问题深度研究，为政府决策提供思路建议。</w:t>
      </w:r>
      <w:r>
        <w:rPr>
          <w:rFonts w:hint="eastAsia" w:ascii="楷体_GB2312" w:eastAsia="楷体_GB2312"/>
          <w:color w:val="000000"/>
        </w:rPr>
        <w:t>（牵头部门：市政府办公室）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3.政策调研制度。</w:t>
      </w:r>
      <w:r>
        <w:rPr>
          <w:rFonts w:hint="eastAsia"/>
          <w:color w:val="000000"/>
        </w:rPr>
        <w:t>对需出台的重要政策，邀请市人大代表、政协委员及各民主党派、工商联等有关人员成立联合调研组，先期开展深度调研，提高政策制定的科学性、民主性、规范性。</w:t>
      </w:r>
      <w:r>
        <w:rPr>
          <w:rFonts w:hint="eastAsia" w:ascii="楷体_GB2312" w:eastAsia="楷体_GB2312"/>
          <w:color w:val="000000"/>
        </w:rPr>
        <w:t>（牵头部门：市政府办公室）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4.企业家参与涉企政策制定制度。</w:t>
      </w:r>
      <w:r>
        <w:rPr>
          <w:rFonts w:hint="eastAsia"/>
          <w:color w:val="000000"/>
        </w:rPr>
        <w:t>凡制定出台重大经济政策、重点工作举措时，要通过广泛咨询、定向咨询、个别咨询等方式，向相关企业、行业协会（商会）问计求策，及时向社会公布意见采用情况，营造支持民营企业建言献策的浓厚氛围。</w:t>
      </w:r>
      <w:r>
        <w:rPr>
          <w:rFonts w:hint="eastAsia" w:ascii="楷体_GB2312" w:eastAsia="楷体_GB2312"/>
          <w:color w:val="000000"/>
        </w:rPr>
        <w:t>（牵头部门：市政府办公室、市发展改革委、市工业和信息化局、市农业农村局、市商务局、市外办）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5.政策发布解读制度。</w:t>
      </w:r>
      <w:r>
        <w:rPr>
          <w:rFonts w:hint="eastAsia"/>
          <w:color w:val="000000"/>
        </w:rPr>
        <w:t>对出台的各类文件，第一时间进行公开发布，并作政策解读，提高社会知晓率。优化市政府门户网站设置，用好大数据技术，加大文件集中查询和定向推送力度。</w:t>
      </w:r>
      <w:r>
        <w:rPr>
          <w:rFonts w:hint="eastAsia" w:ascii="楷体_GB2312" w:eastAsia="楷体_GB2312"/>
          <w:color w:val="000000"/>
        </w:rPr>
        <w:t>（牵头部门：市政府办公室、市大数据局）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6.督导检查制度。</w:t>
      </w:r>
      <w:r>
        <w:rPr>
          <w:rFonts w:hint="eastAsia"/>
          <w:color w:val="000000"/>
        </w:rPr>
        <w:t>进一步严密督查程序、严肃纪律要求、严实工作作风，坚持一线看、实地查，做到真督真查真办、严督严查严办，推动决策部署落地落实。</w:t>
      </w:r>
      <w:r>
        <w:rPr>
          <w:rFonts w:hint="eastAsia" w:ascii="楷体_GB2312" w:eastAsia="楷体_GB2312"/>
          <w:color w:val="000000"/>
        </w:rPr>
        <w:t>（牵头部门：市政府办公室）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7.公共政策落实执行综合评估制度。</w:t>
      </w:r>
      <w:r>
        <w:rPr>
          <w:rFonts w:hint="eastAsia"/>
          <w:color w:val="000000"/>
        </w:rPr>
        <w:t>对中央大政方针、重要政策性文件、重点工作安排和有关专项政策落实情况等，邀请市人大代表、政协委员以及各民主党派、工商联有关人员和第三方机构成立评估组，开展综合效果和影响评估，及时发现纠正存在问题。</w:t>
      </w:r>
      <w:r>
        <w:rPr>
          <w:rFonts w:hint="eastAsia" w:ascii="楷体_GB2312" w:eastAsia="楷体_GB2312"/>
          <w:color w:val="000000"/>
        </w:rPr>
        <w:t>（牵头部门：市政府办公室）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8.工作约谈制度。</w:t>
      </w:r>
      <w:r>
        <w:rPr>
          <w:rFonts w:hint="eastAsia"/>
          <w:color w:val="000000"/>
        </w:rPr>
        <w:t>根据有关法律法规，明确约谈的适用范围、实施主体、形式类型、程序步骤等，使工作约谈规范有序，达到应有目的。</w:t>
      </w:r>
      <w:r>
        <w:rPr>
          <w:rFonts w:hint="eastAsia" w:ascii="楷体_GB2312" w:eastAsia="楷体_GB2312"/>
          <w:color w:val="000000"/>
        </w:rPr>
        <w:t>（牵头部门：市政府办公室）</w:t>
      </w:r>
    </w:p>
    <w:p>
      <w:pPr>
        <w:spacing w:line="550" w:lineRule="exact"/>
        <w:ind w:firstLine="640" w:firstLineChars="200"/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二、政府自身建设领域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9.市政府领导班子合力攻坚制度。</w:t>
      </w:r>
      <w:r>
        <w:rPr>
          <w:rFonts w:hint="eastAsia"/>
          <w:color w:val="000000"/>
        </w:rPr>
        <w:t>市政府班子成员全部</w:t>
      </w:r>
      <w:r>
        <w:rPr>
          <w:rFonts w:hint="eastAsia"/>
        </w:rPr>
        <w:t>开赴到抓发展、保稳定工作最前沿，对影响经济社会发展全局的重中</w:t>
      </w:r>
      <w:r>
        <w:rPr>
          <w:rFonts w:hint="eastAsia"/>
          <w:color w:val="000000"/>
        </w:rPr>
        <w:t>之重工作合力攻坚，确保打开局面、全面胜利。对上级有明确要求的底线性工作，政府班子成员一岗双责、守土有责，确保守住底线、不出问题。</w:t>
      </w:r>
      <w:r>
        <w:rPr>
          <w:rFonts w:hint="eastAsia" w:ascii="楷体_GB2312" w:eastAsia="楷体_GB2312"/>
          <w:color w:val="000000"/>
        </w:rPr>
        <w:t>（牵头部门：市政府办公室）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10.“向代表述职、请委员评议”制度。</w:t>
      </w:r>
      <w:r>
        <w:rPr>
          <w:rFonts w:hint="eastAsia"/>
          <w:color w:val="000000"/>
        </w:rPr>
        <w:t>建立政府部门自觉接受人大法律监督和政协民主监督、主动听取代表委员和群众意见建议的常态化机制。政府部门每年第一季度报告全年工作安排计划，年底报告全年工作完成情况。邀请部分人大代表、政协委员以及各民主党派、工商联有关负责人参加述职评议活动，并向社会公开。</w:t>
      </w:r>
      <w:r>
        <w:rPr>
          <w:rFonts w:hint="eastAsia" w:ascii="楷体_GB2312" w:eastAsia="楷体_GB2312"/>
          <w:color w:val="000000"/>
        </w:rPr>
        <w:t>（牵头部门：市政府办公室）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11.审计问题整改落实制度。</w:t>
      </w:r>
      <w:r>
        <w:rPr>
          <w:rFonts w:hint="eastAsia"/>
          <w:color w:val="000000"/>
        </w:rPr>
        <w:t>明确具体操作流程及责任分工，推动问题整改。对整改落实不到位以及拒绝或拖延整改、虚假整改的，提出硬举措、硬约束，确保审计问题及时整改到位。</w:t>
      </w:r>
      <w:r>
        <w:rPr>
          <w:rFonts w:hint="eastAsia" w:ascii="楷体_GB2312" w:eastAsia="楷体_GB2312"/>
          <w:color w:val="000000"/>
        </w:rPr>
        <w:t>（牵头部门：市审计局）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12.政务服务“好差评”制度。</w:t>
      </w:r>
      <w:r>
        <w:rPr>
          <w:rFonts w:hint="eastAsia"/>
          <w:color w:val="000000"/>
        </w:rPr>
        <w:t>对政务服务事项，邀请第三方机构面向全社会进行评价，评价结果每半年向社会公布一次。年底凡获评差及以下的，部门主要负责人以电视和网络直播形式向市民作出说明。</w:t>
      </w:r>
      <w:r>
        <w:rPr>
          <w:rFonts w:hint="eastAsia" w:ascii="楷体_GB2312" w:eastAsia="楷体_GB2312"/>
          <w:color w:val="000000"/>
        </w:rPr>
        <w:t>（牵头部门：市政务服务管理办公室）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13.县市区政府（管委）和部门述职制度。</w:t>
      </w:r>
      <w:r>
        <w:rPr>
          <w:rFonts w:hint="eastAsia"/>
          <w:color w:val="000000"/>
        </w:rPr>
        <w:t>县市区政府（管委）和部门主要负责同志，每两个月向市政府汇报一次重要工作开展情况。</w:t>
      </w:r>
      <w:r>
        <w:rPr>
          <w:rFonts w:hint="eastAsia" w:ascii="楷体_GB2312" w:eastAsia="楷体_GB2312"/>
          <w:color w:val="000000"/>
        </w:rPr>
        <w:t>（牵头部门：市政府办公室）</w:t>
      </w:r>
    </w:p>
    <w:p>
      <w:pPr>
        <w:spacing w:line="550" w:lineRule="exact"/>
        <w:ind w:firstLine="640" w:firstLineChars="200"/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三、经济发展领域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14.政府和国有资本投资运营管理制度。</w:t>
      </w:r>
      <w:r>
        <w:rPr>
          <w:rFonts w:hint="eastAsia"/>
          <w:color w:val="000000"/>
        </w:rPr>
        <w:t>在政府投资管理、国有资本投资管理、城市公共资产经营管理和涉企纾难解困资金投入方面，围绕资金（资产）如何进入、退出、管理、评估等环节，制定具体操作办法和程序流程，实现政府和国有资本投资运营效益最大化，规避风险隐患。</w:t>
      </w:r>
      <w:r>
        <w:rPr>
          <w:rFonts w:hint="eastAsia" w:ascii="楷体_GB2312" w:eastAsia="楷体_GB2312"/>
          <w:color w:val="000000"/>
        </w:rPr>
        <w:t>（牵头部门：市财政局、市国资委）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15.国有资产管理制度。</w:t>
      </w:r>
      <w:r>
        <w:rPr>
          <w:rFonts w:hint="eastAsia"/>
          <w:color w:val="000000"/>
        </w:rPr>
        <w:t>明确非金融类国有企业、国有金融类企业、行政事业单位国有资产和国有自然资源资产管理情况，确保底数清、情况明。每年要将全市国有资产管理情况向市政府汇报。</w:t>
      </w:r>
      <w:r>
        <w:rPr>
          <w:rFonts w:hint="eastAsia" w:ascii="楷体_GB2312" w:eastAsia="楷体_GB2312"/>
          <w:color w:val="000000"/>
        </w:rPr>
        <w:t>（牵头部门：市财政局）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16.市政公共资源有偿使用制度。</w:t>
      </w:r>
      <w:r>
        <w:rPr>
          <w:rFonts w:hint="eastAsia"/>
          <w:color w:val="000000"/>
        </w:rPr>
        <w:t>建立市政公共资源让渡收益机制，对相关工作作出制度化、程序化安排，促进市政公共资源有效利用。</w:t>
      </w:r>
      <w:r>
        <w:rPr>
          <w:rFonts w:hint="eastAsia" w:ascii="楷体_GB2312" w:eastAsia="楷体_GB2312"/>
          <w:color w:val="000000"/>
        </w:rPr>
        <w:t>（牵头部门：市发展改革委、市财政局、市城管局、市司法局）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17.专业招商支持管理制度。</w:t>
      </w:r>
      <w:r>
        <w:rPr>
          <w:rFonts w:hint="eastAsia"/>
          <w:color w:val="000000"/>
        </w:rPr>
        <w:t>围绕全市产业发展重点和方向，组建专业化、国际化招商团队，提高招商引资的精准性、时效性。建立招商引资考核评价奖惩机制。</w:t>
      </w:r>
      <w:r>
        <w:rPr>
          <w:rFonts w:hint="eastAsia" w:ascii="楷体_GB2312" w:eastAsia="楷体_GB2312"/>
          <w:color w:val="000000"/>
        </w:rPr>
        <w:t>（牵头部门：市投资促进中心）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18.“双招双引”信息共享制度。</w:t>
      </w:r>
      <w:r>
        <w:rPr>
          <w:rFonts w:hint="eastAsia"/>
          <w:color w:val="000000"/>
        </w:rPr>
        <w:t>建立全市信息共享合作机制，整合各县市区信息资源，提高信息利用效果，形成全市工作合力，实现资源优化配置。</w:t>
      </w:r>
      <w:r>
        <w:rPr>
          <w:rFonts w:hint="eastAsia" w:ascii="楷体_GB2312" w:eastAsia="楷体_GB2312"/>
          <w:color w:val="000000"/>
        </w:rPr>
        <w:t>（牵头部门：市投资促进中心）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19.交通专项资金管理制度。</w:t>
      </w:r>
      <w:r>
        <w:rPr>
          <w:rFonts w:hint="eastAsia"/>
          <w:color w:val="000000"/>
        </w:rPr>
        <w:t>完善退坡资金和燃油补贴、港口建设费、农村公路等专项资金管理办法，增强资金安排和项目管理的规范性、有效性，提高交通项目绩效管理水平。</w:t>
      </w:r>
      <w:r>
        <w:rPr>
          <w:rFonts w:hint="eastAsia" w:ascii="楷体_GB2312" w:eastAsia="楷体_GB2312"/>
          <w:color w:val="000000"/>
        </w:rPr>
        <w:t>（牵头部门：市交通运输局、市财政局）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20.技术创新支持服务制度。</w:t>
      </w:r>
      <w:r>
        <w:rPr>
          <w:rFonts w:hint="eastAsia"/>
          <w:color w:val="000000"/>
        </w:rPr>
        <w:t>完善政府服务职能，进一步破除创新束缚，探索研发机构（学科专业）设置权、人才招聘权、职称评审权、内部薪酬分配权、科技成果转化收益处置权“五权下放”改革，推动产学研有机融合，全面增强创新活力。</w:t>
      </w:r>
      <w:r>
        <w:rPr>
          <w:rFonts w:hint="eastAsia" w:ascii="楷体_GB2312" w:eastAsia="楷体_GB2312"/>
          <w:color w:val="000000"/>
        </w:rPr>
        <w:t>（牵头部门：市科技局、市人力资源社会保障局）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21.技术交易制度。</w:t>
      </w:r>
      <w:r>
        <w:rPr>
          <w:rFonts w:hint="eastAsia"/>
          <w:color w:val="000000"/>
        </w:rPr>
        <w:t>规范技术合同认定登记行为，提高技术合同认定登记服务水平和效率，更好地促进技术交易和成果转化。</w:t>
      </w:r>
      <w:r>
        <w:rPr>
          <w:rFonts w:hint="eastAsia" w:ascii="楷体_GB2312" w:eastAsia="楷体_GB2312"/>
          <w:color w:val="000000"/>
        </w:rPr>
        <w:t>（牵头部门：市科技局）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22.海洋经济统计核算制度。</w:t>
      </w:r>
      <w:r>
        <w:rPr>
          <w:rFonts w:hint="eastAsia"/>
          <w:color w:val="000000"/>
        </w:rPr>
        <w:t>建立完善市级海洋生产总值核算体系，推进涉海企业直报工作，加强海洋经济运行监测与评估，提升海洋经济调控支持能力。</w:t>
      </w:r>
      <w:r>
        <w:rPr>
          <w:rFonts w:hint="eastAsia" w:ascii="楷体_GB2312" w:eastAsia="楷体_GB2312"/>
          <w:color w:val="000000"/>
        </w:rPr>
        <w:t>（牵头部门：市海洋发展和渔业局、市统计局）</w:t>
      </w:r>
    </w:p>
    <w:p>
      <w:pPr>
        <w:spacing w:line="550" w:lineRule="exact"/>
        <w:ind w:firstLine="640" w:firstLineChars="200"/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四、营商环境领域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23.企业家座谈制度。</w:t>
      </w:r>
      <w:r>
        <w:rPr>
          <w:rFonts w:hint="eastAsia"/>
          <w:color w:val="000000"/>
        </w:rPr>
        <w:t>市政府负责同志定期召集企业负责人座谈，听取企业意见和建议。</w:t>
      </w:r>
      <w:r>
        <w:rPr>
          <w:rFonts w:hint="eastAsia" w:ascii="楷体_GB2312" w:eastAsia="楷体_GB2312"/>
          <w:color w:val="000000"/>
        </w:rPr>
        <w:t>（牵头部门：市政府办公室）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24.“政企直通车”制度。</w:t>
      </w:r>
      <w:r>
        <w:rPr>
          <w:rFonts w:hint="eastAsia"/>
          <w:color w:val="000000"/>
        </w:rPr>
        <w:t>在政府门户网站开设“政企直通车”专栏，并以手机APP形式向社会推送，接受企业咨询政策、反映问题、提出建议、表达诉求。对企业反映的事项，由市政府办公室组织专人分办、落实、反馈，实现政企直通、问题直报、领导督办。</w:t>
      </w:r>
      <w:r>
        <w:rPr>
          <w:rFonts w:hint="eastAsia" w:ascii="楷体_GB2312" w:eastAsia="楷体_GB2312"/>
          <w:color w:val="000000"/>
        </w:rPr>
        <w:t>（牵头部门：市政府办公室）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25.规范涉企检查制度。</w:t>
      </w:r>
      <w:r>
        <w:rPr>
          <w:rFonts w:hint="eastAsia"/>
          <w:color w:val="000000"/>
        </w:rPr>
        <w:t>除涉及公共安全、环保等检查外，取消其他一切检查。每年初，统筹各部门年度检查计划，对同主题的重复性检查进行整合，杜绝检查随意性，为企业发展营造宁静的外部环境。</w:t>
      </w:r>
      <w:r>
        <w:rPr>
          <w:rFonts w:hint="eastAsia" w:ascii="楷体_GB2312" w:eastAsia="楷体_GB2312"/>
          <w:color w:val="000000"/>
        </w:rPr>
        <w:t>（牵头部门：市政府办公室）</w:t>
      </w:r>
    </w:p>
    <w:p>
      <w:pPr>
        <w:spacing w:line="550" w:lineRule="exact"/>
        <w:ind w:firstLine="640" w:firstLineChars="200"/>
        <w:rPr>
          <w:rFonts w:hint="eastAsia" w:ascii="楷体_GB2312" w:hAnsi="仿宋_GB2312" w:eastAsia="楷体_GB2312" w:cs="仿宋_GB2312"/>
          <w:color w:val="000000"/>
        </w:rPr>
      </w:pPr>
      <w:r>
        <w:rPr>
          <w:rFonts w:hint="eastAsia" w:ascii="楷体_GB2312" w:hAnsi="仿宋_GB2312" w:eastAsia="楷体_GB2312" w:cs="仿宋_GB2312"/>
          <w:color w:val="000000"/>
        </w:rPr>
        <w:t>26.流程再造社会评价监督制度。</w:t>
      </w:r>
      <w:r>
        <w:rPr>
          <w:rFonts w:hint="eastAsia" w:hAnsi="仿宋_GB2312" w:cs="仿宋_GB2312"/>
          <w:color w:val="000000"/>
        </w:rPr>
        <w:t>建立社会评价监督常态化机制，分批次向社会公开流程再造事项，广泛征集意见建议，对合理的意见建议，及时采纳、认真解决、限时反馈，确保好事办好。</w:t>
      </w:r>
      <w:r>
        <w:rPr>
          <w:rFonts w:hint="eastAsia" w:ascii="楷体_GB2312" w:eastAsia="楷体_GB2312"/>
          <w:color w:val="000000"/>
        </w:rPr>
        <w:t>（牵头部门：市政府办公室、市行政审批服务局）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27.银行机构重点项目互访对接制度。</w:t>
      </w:r>
      <w:r>
        <w:rPr>
          <w:rFonts w:hint="eastAsia"/>
          <w:color w:val="000000"/>
        </w:rPr>
        <w:t>强化重点项目建设融资服务，定期发布市级重点项目信息，有效开展“百行进万企”活动，引导银行机构积极主动服务重点项目，实现双赢发展。</w:t>
      </w:r>
      <w:r>
        <w:rPr>
          <w:rFonts w:hint="eastAsia" w:ascii="楷体_GB2312" w:eastAsia="楷体_GB2312"/>
          <w:color w:val="000000"/>
        </w:rPr>
        <w:t>（牵头部门：市地方金融监管局、市发展改革委）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28.优化涉外服务环境联席会议制度。</w:t>
      </w:r>
      <w:r>
        <w:rPr>
          <w:rFonts w:hint="eastAsia"/>
          <w:color w:val="000000"/>
        </w:rPr>
        <w:t>根据对外开放形势和全市涉外服务工作中需要改善提升的问题，及时召开协调会议，研究解决相关问题。</w:t>
      </w:r>
      <w:r>
        <w:rPr>
          <w:rFonts w:hint="eastAsia" w:ascii="楷体_GB2312" w:eastAsia="楷体_GB2312"/>
          <w:color w:val="000000"/>
        </w:rPr>
        <w:t>（牵头部门：市外办）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29.政务</w:t>
      </w:r>
      <w:r>
        <w:rPr>
          <w:rFonts w:hint="eastAsia" w:ascii="楷体_GB2312" w:eastAsia="楷体_GB2312"/>
          <w:color w:val="000000"/>
          <w:spacing w:val="-4"/>
        </w:rPr>
        <w:t>数据开放共享制度。</w:t>
      </w:r>
      <w:r>
        <w:rPr>
          <w:rFonts w:hint="eastAsia"/>
          <w:color w:val="000000"/>
          <w:spacing w:val="-4"/>
        </w:rPr>
        <w:t>进一步规范全市政务数据和公共数据的开放、共享和利用，促进部门间基于数据共享的业务协同和整合，助力流程再造，优化营商环境。</w:t>
      </w:r>
      <w:r>
        <w:rPr>
          <w:rFonts w:hint="eastAsia" w:ascii="楷体_GB2312" w:eastAsia="楷体_GB2312"/>
          <w:color w:val="000000"/>
          <w:spacing w:val="-4"/>
        </w:rPr>
        <w:t>（牵头部门：市大数据局）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30.高层次人才服务专员制度。</w:t>
      </w:r>
      <w:r>
        <w:rPr>
          <w:rFonts w:hint="eastAsia"/>
          <w:color w:val="000000"/>
        </w:rPr>
        <w:t>建立市、县、企三级服务专员队伍，为高层次人才在项目申报、政策落实、日常生活等方面提供贴心服务，打造有利于人才成长的优质生态环境。</w:t>
      </w:r>
      <w:r>
        <w:rPr>
          <w:rFonts w:hint="eastAsia" w:ascii="楷体_GB2312" w:eastAsia="楷体_GB2312"/>
          <w:color w:val="000000"/>
        </w:rPr>
        <w:t>（牵头部门：市人力资源社会保障局）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31.校地沟通联络制度。</w:t>
      </w:r>
      <w:r>
        <w:rPr>
          <w:rFonts w:hint="eastAsia"/>
          <w:color w:val="000000"/>
        </w:rPr>
        <w:t>强化驻烟高校、职业院校与地方的沟通联系，建立专业动态调整、成果转化推广应用机制，更好地服务全市经济社会发展。</w:t>
      </w:r>
      <w:r>
        <w:rPr>
          <w:rFonts w:hint="eastAsia" w:ascii="楷体_GB2312" w:eastAsia="楷体_GB2312"/>
          <w:color w:val="000000"/>
        </w:rPr>
        <w:t>（牵头部门：市教育局、市科技局）</w:t>
      </w:r>
    </w:p>
    <w:p>
      <w:pPr>
        <w:spacing w:line="550" w:lineRule="exact"/>
        <w:ind w:firstLine="640" w:firstLineChars="200"/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五、生态环境领域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32.环</w:t>
      </w:r>
      <w:r>
        <w:rPr>
          <w:rFonts w:hint="eastAsia" w:ascii="楷体_GB2312" w:eastAsia="楷体_GB2312"/>
          <w:color w:val="000000"/>
          <w:spacing w:val="-4"/>
        </w:rPr>
        <w:t>保问题点位过程监管制度。</w:t>
      </w:r>
      <w:r>
        <w:rPr>
          <w:rFonts w:hint="eastAsia"/>
          <w:color w:val="000000"/>
          <w:spacing w:val="-4"/>
        </w:rPr>
        <w:t>聚焦各领域生态环境保护方面易出问题的环节和点位，每半年至少组织第三方专业机构开展1次评估检查，加强过程管理，做到问题随查随改、即改即清。对热点问题，建立评估检查常态化机制。</w:t>
      </w:r>
      <w:r>
        <w:rPr>
          <w:rFonts w:hint="eastAsia" w:ascii="楷体_GB2312" w:eastAsia="楷体_GB2312"/>
          <w:color w:val="000000"/>
          <w:spacing w:val="-4"/>
        </w:rPr>
        <w:t>（牵头部门：市生态环境局）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33.生态环境“网格化”监管制度。</w:t>
      </w:r>
      <w:r>
        <w:rPr>
          <w:rFonts w:hint="eastAsia"/>
          <w:color w:val="000000"/>
        </w:rPr>
        <w:t>依托市、县两级生态环境保护委员会，落实“管行业必须管环保”要求，将河长制、湾长制、林长制等管理机制与“网格化”环境监管有机结合，以大气、水、土壤等污染防治和“散乱污”企业整治为重点，在每一级建立条块结合的重点污染源、环境风险源监管网格，进一步整合生态环境管理资源，提升监管效能。</w:t>
      </w:r>
      <w:r>
        <w:rPr>
          <w:rFonts w:hint="eastAsia" w:ascii="楷体_GB2312" w:eastAsia="楷体_GB2312"/>
          <w:color w:val="000000"/>
        </w:rPr>
        <w:t>（牵头部门：市生态环境局、市自然资源和规划局、市水利局、市农业农村局）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34.饮用水水源保护生态补偿制度。</w:t>
      </w:r>
      <w:r>
        <w:rPr>
          <w:rFonts w:hint="eastAsia"/>
          <w:color w:val="000000"/>
        </w:rPr>
        <w:t>根据《烟台市饮用水水源保护条例》要求，健全完善饮用水水源保护生态补偿长效机制。</w:t>
      </w:r>
      <w:r>
        <w:rPr>
          <w:rFonts w:hint="eastAsia" w:ascii="楷体_GB2312" w:eastAsia="楷体_GB2312"/>
          <w:color w:val="000000"/>
        </w:rPr>
        <w:t>（牵头部门：市生态环境局）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35.山体保护制度。</w:t>
      </w:r>
      <w:r>
        <w:rPr>
          <w:rFonts w:hint="eastAsia"/>
          <w:color w:val="000000"/>
        </w:rPr>
        <w:t>根据《烟台市山体保护条例》要求，建立境内山体保护长效机制，维护良好自然生态。</w:t>
      </w:r>
      <w:r>
        <w:rPr>
          <w:rFonts w:hint="eastAsia" w:ascii="楷体_GB2312" w:eastAsia="楷体_GB2312"/>
          <w:color w:val="000000"/>
        </w:rPr>
        <w:t>（牵头部门：市自然资源和规划局）</w:t>
      </w:r>
    </w:p>
    <w:p>
      <w:pPr>
        <w:spacing w:line="550" w:lineRule="exact"/>
        <w:ind w:firstLine="640" w:firstLineChars="200"/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六、城市管理领域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36.城市修复更新制度。</w:t>
      </w:r>
      <w:r>
        <w:rPr>
          <w:rFonts w:hint="eastAsia"/>
          <w:color w:val="000000"/>
        </w:rPr>
        <w:t>以建设宜业宜居宜游城市为目标，围绕城市修复更新，科学合理设定指标体系、重点工程和推进方法，动态补齐城市建设领域中的薄弱环节和问题短板。</w:t>
      </w:r>
      <w:r>
        <w:rPr>
          <w:rFonts w:hint="eastAsia" w:ascii="楷体_GB2312" w:eastAsia="楷体_GB2312"/>
          <w:color w:val="000000"/>
        </w:rPr>
        <w:t>（牵头部门：市城管局、市住房城乡建设局、市自然资源和规划局）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37.防空地下室易地建设费征缴使用管理制度。</w:t>
      </w:r>
      <w:r>
        <w:rPr>
          <w:rFonts w:hint="eastAsia"/>
          <w:color w:val="000000"/>
        </w:rPr>
        <w:t>规范防空地下室易地建设费征缴管理体制，明确各级防空地下室易地建设费征缴比例，加强对人防资金的使用监督，加快人防单建工程建设进度。</w:t>
      </w:r>
      <w:r>
        <w:rPr>
          <w:rFonts w:hint="eastAsia" w:ascii="楷体_GB2312" w:eastAsia="楷体_GB2312"/>
          <w:color w:val="000000"/>
        </w:rPr>
        <w:t>（牵头部门：市人防办、市财政局）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38.道路整修管理制度。</w:t>
      </w:r>
      <w:r>
        <w:rPr>
          <w:rFonts w:hint="eastAsia"/>
          <w:color w:val="000000"/>
        </w:rPr>
        <w:t>在城市道路新建、改建、扩建及养护维修和挖掘工作中，坚持集中管理、统一行动，加强沟通协调统筹，避免道路反复开挖。</w:t>
      </w:r>
      <w:r>
        <w:rPr>
          <w:rFonts w:hint="eastAsia" w:ascii="楷体_GB2312" w:eastAsia="楷体_GB2312"/>
          <w:color w:val="000000"/>
        </w:rPr>
        <w:t>（牵头部门：市城管局、市住房城乡建设局、市行政审批服务局）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39.市区停车管理制度。</w:t>
      </w:r>
      <w:r>
        <w:rPr>
          <w:rFonts w:hint="eastAsia"/>
          <w:color w:val="000000"/>
        </w:rPr>
        <w:t>建立市区公共停车场配建长效机制，确保每年有序增设一批。最大限度用足住宅区周边道路资源，科学划定停车泊位，满足群众居住停车需求。</w:t>
      </w:r>
      <w:r>
        <w:rPr>
          <w:rFonts w:hint="eastAsia" w:ascii="楷体_GB2312" w:eastAsia="楷体_GB2312"/>
          <w:color w:val="000000"/>
        </w:rPr>
        <w:t>（牵头部门：市公安局、市城管局、市自然资源和规划局）</w:t>
      </w:r>
    </w:p>
    <w:p>
      <w:pPr>
        <w:spacing w:line="550" w:lineRule="exact"/>
        <w:ind w:firstLine="640" w:firstLineChars="200"/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七、市场监管领域</w:t>
      </w:r>
    </w:p>
    <w:p>
      <w:pPr>
        <w:spacing w:line="550" w:lineRule="exact"/>
        <w:ind w:firstLine="640" w:firstLineChars="200"/>
        <w:rPr>
          <w:rFonts w:hint="eastAsia" w:hAnsi="仿宋_GB2312" w:cs="仿宋_GB2312"/>
          <w:color w:val="000000"/>
        </w:rPr>
      </w:pPr>
      <w:r>
        <w:rPr>
          <w:rFonts w:hint="eastAsia" w:ascii="楷体_GB2312" w:eastAsia="楷体_GB2312"/>
          <w:color w:val="000000"/>
        </w:rPr>
        <w:t>40.</w:t>
      </w:r>
      <w:r>
        <w:rPr>
          <w:rFonts w:hint="eastAsia" w:ascii="楷体_GB2312" w:hAnsi="黑体" w:eastAsia="楷体_GB2312"/>
          <w:color w:val="000000"/>
        </w:rPr>
        <w:t>市场主体分类监管制度</w:t>
      </w:r>
      <w:r>
        <w:rPr>
          <w:rFonts w:hint="eastAsia" w:ascii="楷体_GB2312" w:eastAsia="楷体_GB2312"/>
          <w:color w:val="000000"/>
        </w:rPr>
        <w:t>。</w:t>
      </w:r>
      <w:r>
        <w:rPr>
          <w:rFonts w:hint="eastAsia" w:hAnsi="仿宋_GB2312" w:cs="仿宋_GB2312"/>
          <w:color w:val="000000"/>
        </w:rPr>
        <w:t>以“互联网+”为支撑，综合遵规守纪、诚信经营、公平竞争、产品质量等各项指标，对市场主体进行动态评估、分类监管，依法依规加大对失信行为的行政性、市场性约束和惩戒。对严重违法违规市场主体或长期停业不经营企业，依法及时出清，净化市场经营环境。</w:t>
      </w:r>
      <w:r>
        <w:rPr>
          <w:rFonts w:hint="eastAsia" w:ascii="楷体_GB2312" w:eastAsia="楷体_GB2312"/>
          <w:color w:val="000000"/>
        </w:rPr>
        <w:t>（牵头部门：市市场监管局、市发展改革委）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41.房产交易信息预警发布制度。</w:t>
      </w:r>
      <w:r>
        <w:rPr>
          <w:rFonts w:hint="eastAsia"/>
          <w:color w:val="000000"/>
        </w:rPr>
        <w:t>建立大数据平台，动态发布手续办理、费用缴纳、资质等级、设施配套等房地产项目信息，推行星级管理，保证群众知情权。</w:t>
      </w:r>
      <w:r>
        <w:rPr>
          <w:rFonts w:hint="eastAsia" w:ascii="楷体_GB2312" w:eastAsia="楷体_GB2312"/>
          <w:color w:val="000000"/>
        </w:rPr>
        <w:t>（牵头部门：市住房城乡建设局、市自然资源和规划局）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42.物业管理制度。</w:t>
      </w:r>
      <w:r>
        <w:rPr>
          <w:rFonts w:hint="eastAsia"/>
          <w:color w:val="000000"/>
        </w:rPr>
        <w:t>实施物业服务企业信用信息管理，落实“红黑榜”制度，整治物业企业收费不规范、服务质量差、公共收益收支不透明等突出问题。对投诉较多的疑似涉黑涉恶物业企业，依法严肃处理。</w:t>
      </w:r>
      <w:r>
        <w:rPr>
          <w:rFonts w:hint="eastAsia" w:ascii="楷体_GB2312" w:eastAsia="楷体_GB2312"/>
          <w:color w:val="000000"/>
        </w:rPr>
        <w:t>（牵头部门：市住房城乡建设局、市公安局、市发展改革委、市市场监管局）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43.文化和旅游市场管理制度。</w:t>
      </w:r>
      <w:r>
        <w:rPr>
          <w:rFonts w:hint="eastAsia"/>
          <w:color w:val="000000"/>
        </w:rPr>
        <w:t>强化对文化和旅游市场管理的综合协调，明确有关部门监管责任，完善联合执法、信息共享、投诉移交转办等工作机制，形成齐抓共管的工作局面。</w:t>
      </w:r>
      <w:r>
        <w:rPr>
          <w:rFonts w:hint="eastAsia" w:ascii="楷体_GB2312" w:eastAsia="楷体_GB2312"/>
          <w:color w:val="000000"/>
        </w:rPr>
        <w:t>（牵头部门：市文化和旅游局）</w:t>
      </w:r>
    </w:p>
    <w:p>
      <w:pPr>
        <w:spacing w:line="550" w:lineRule="exact"/>
        <w:ind w:firstLine="640" w:firstLineChars="200"/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八、农业农村领域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44.耕地保护制度。</w:t>
      </w:r>
      <w:r>
        <w:rPr>
          <w:rFonts w:hint="eastAsia"/>
          <w:color w:val="000000"/>
        </w:rPr>
        <w:t>建立多级耕地保护治理工作机制，推动耕地保护重心下移，做到耕地保护监督不留死角、不留盲区、不留隐患。</w:t>
      </w:r>
      <w:r>
        <w:rPr>
          <w:rFonts w:hint="eastAsia" w:ascii="楷体_GB2312" w:eastAsia="楷体_GB2312"/>
          <w:color w:val="000000"/>
        </w:rPr>
        <w:t>（牵头部门：市自然资源和规划局）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45.农田建设项目管理制度。</w:t>
      </w:r>
      <w:r>
        <w:rPr>
          <w:rFonts w:hint="eastAsia"/>
          <w:color w:val="000000"/>
        </w:rPr>
        <w:t>建立市级农田建设项目库，统筹安排建设任务，保证建设质量。强化后期管理和运行监管，明确管理责任，确保项目实现预期目标。定期组织对县市区农田建设项目开展绩效运行监督评价，强化结果运用。</w:t>
      </w:r>
      <w:r>
        <w:rPr>
          <w:rFonts w:hint="eastAsia" w:ascii="楷体_GB2312" w:eastAsia="楷体_GB2312"/>
          <w:color w:val="000000"/>
        </w:rPr>
        <w:t>（牵头部门：市农业农村局）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46.农田水利设施管理制度。</w:t>
      </w:r>
      <w:r>
        <w:rPr>
          <w:rFonts w:hint="eastAsia"/>
          <w:color w:val="000000"/>
        </w:rPr>
        <w:t>对全市范围内农田取水工程、输水工程、排水工程等建立台账、分类管理，定期进行排查，及时做好除险加固、整治维修、新建改建等工作，为农业发展提供稳固水源保障。</w:t>
      </w:r>
      <w:r>
        <w:rPr>
          <w:rFonts w:hint="eastAsia" w:ascii="楷体_GB2312" w:eastAsia="楷体_GB2312"/>
          <w:color w:val="000000"/>
        </w:rPr>
        <w:t>（牵头部门：市水利局、市农业农村局）</w:t>
      </w:r>
    </w:p>
    <w:p>
      <w:pPr>
        <w:spacing w:line="550" w:lineRule="exact"/>
        <w:ind w:firstLine="640" w:firstLineChars="200"/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九、民生保障领域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47.民生工作“查补提”制度。</w:t>
      </w:r>
      <w:r>
        <w:rPr>
          <w:rFonts w:hint="eastAsia"/>
          <w:color w:val="000000"/>
        </w:rPr>
        <w:t>建立民生领域查漏洞、补短板、提质效长效机制，不断改善和提升全市民生工作水平。</w:t>
      </w:r>
      <w:r>
        <w:rPr>
          <w:rFonts w:hint="eastAsia" w:ascii="楷体_GB2312" w:eastAsia="楷体_GB2312"/>
          <w:color w:val="000000"/>
        </w:rPr>
        <w:t>（牵头部门：市政府办公室）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48.农村贫困人口即有即帮制度。</w:t>
      </w:r>
      <w:r>
        <w:rPr>
          <w:rFonts w:hint="eastAsia"/>
          <w:color w:val="000000"/>
        </w:rPr>
        <w:t>加强对不稳定脱贫户、贫困边缘户动态监测，对可能致贫和返贫困难群众开展即时帮扶，防止返贫和新致贫。</w:t>
      </w:r>
      <w:r>
        <w:rPr>
          <w:rFonts w:hint="eastAsia" w:ascii="楷体_GB2312" w:eastAsia="楷体_GB2312"/>
          <w:color w:val="000000"/>
        </w:rPr>
        <w:t>（牵头部门：市扶贫办）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49.特殊群体救助关爱制度。</w:t>
      </w:r>
      <w:r>
        <w:rPr>
          <w:rFonts w:hint="eastAsia"/>
          <w:color w:val="000000"/>
        </w:rPr>
        <w:t>对鳏寡孤独以及智障人士、生活困难群体和失独家庭等，进一步健全完善救助和关爱措施，定期走访慰问，解决实际困难，营造充满关爱的生活环境。</w:t>
      </w:r>
      <w:r>
        <w:rPr>
          <w:rFonts w:hint="eastAsia" w:ascii="楷体_GB2312" w:eastAsia="楷体_GB2312"/>
          <w:color w:val="000000"/>
        </w:rPr>
        <w:t>（牵头部门：市民政局、市卫生健康委、市医保局）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50.居住区幼儿园配建管理制度。</w:t>
      </w:r>
      <w:r>
        <w:rPr>
          <w:rFonts w:hint="eastAsia"/>
          <w:color w:val="000000"/>
        </w:rPr>
        <w:t>完善居住区与配套幼儿园同步规划、同步建设、同步交付使用管理制度，确保配套幼儿园一律办成公办或普惠性民办幼儿园。对应建未建、拖延交付、私自改变用途等行为，定期组织开展集中整治行动。</w:t>
      </w:r>
      <w:r>
        <w:rPr>
          <w:rFonts w:hint="eastAsia" w:ascii="楷体_GB2312" w:eastAsia="楷体_GB2312"/>
          <w:color w:val="000000"/>
        </w:rPr>
        <w:t>（牵头部门：市教育局、市自然资源和规划局、市住房城乡建设局）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hAnsi="黑体" w:eastAsia="楷体_GB2312"/>
          <w:color w:val="000000"/>
        </w:rPr>
        <w:t>51.村（社区）综合性文化服务中心建设与管理服务制度。</w:t>
      </w:r>
      <w:r>
        <w:rPr>
          <w:rFonts w:hint="eastAsia" w:hAnsi="仿宋"/>
          <w:color w:val="000000"/>
        </w:rPr>
        <w:t>重点围绕基层综合性文化服务中心的建设、管理、使用及效能发挥，从工作目标、工作内容、队伍建设、资金保障、绩效考评、督导检查等方面进行规范完善和探索创新，形成一套系统完备的规章制度，推进我市基层公共文化服务工作高质量发展。</w:t>
      </w:r>
      <w:r>
        <w:rPr>
          <w:rFonts w:hint="eastAsia" w:ascii="楷体_GB2312" w:eastAsia="楷体_GB2312"/>
          <w:color w:val="000000"/>
        </w:rPr>
        <w:t>（牵头部门：市文化和旅游局、市财政局）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52.公共健身器材维护管理制度。</w:t>
      </w:r>
      <w:r>
        <w:rPr>
          <w:rFonts w:hint="eastAsia"/>
          <w:color w:val="000000"/>
        </w:rPr>
        <w:t>针对健身器材维护管理责任不清、维修不及时等问题，制定出台具体管理办法，建立健身器材维护管理网络，实现网格化管理。</w:t>
      </w:r>
      <w:r>
        <w:rPr>
          <w:rFonts w:hint="eastAsia" w:ascii="楷体_GB2312" w:eastAsia="楷体_GB2312"/>
          <w:color w:val="000000"/>
        </w:rPr>
        <w:t>（牵头部门：市体育局）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53.社会贡献奖励制度。</w:t>
      </w:r>
      <w:r>
        <w:rPr>
          <w:rFonts w:hint="eastAsia"/>
          <w:color w:val="000000"/>
        </w:rPr>
        <w:t>面向全社会每年组织开展一次贡献奖励活动，调动社会各界参与烟台建设、助力烟台发展的积极性和主动性。</w:t>
      </w:r>
      <w:r>
        <w:rPr>
          <w:rFonts w:hint="eastAsia" w:ascii="楷体_GB2312" w:eastAsia="楷体_GB2312"/>
          <w:color w:val="000000"/>
        </w:rPr>
        <w:t>（牵头部门：市人力资源社会保障局、市财政局）</w:t>
      </w:r>
    </w:p>
    <w:p>
      <w:pPr>
        <w:spacing w:line="550" w:lineRule="exact"/>
        <w:ind w:firstLine="640" w:firstLineChars="200"/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十、平安建设领域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54.风险评估制度。</w:t>
      </w:r>
      <w:r>
        <w:rPr>
          <w:rFonts w:hint="eastAsia"/>
          <w:color w:val="000000"/>
        </w:rPr>
        <w:t>重点聚焦社会稳定、生态环境、金融等领域，定期邀请第三方专业机构开展风险评估，做到未雨绸缪、争取主动。</w:t>
      </w:r>
      <w:r>
        <w:rPr>
          <w:rFonts w:hint="eastAsia" w:ascii="楷体_GB2312" w:eastAsia="楷体_GB2312"/>
          <w:color w:val="000000"/>
        </w:rPr>
        <w:t>（牵头部门：市公安局、市生态环境局、市地方金融监管局）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55.城市公共安全和矛盾风险研判化解制度。</w:t>
      </w:r>
      <w:r>
        <w:rPr>
          <w:rFonts w:hint="eastAsia"/>
          <w:color w:val="000000"/>
        </w:rPr>
        <w:t>提出桥梁、隧道、交通运输、消防、特种设备、燃气管网、供水管网、排水管网、热力管网、综合管廊、雨污水井盖、房屋、食品等行业领域安全管理标准，明确相关部门安全管理职责，提升城市公共安全管理法治化、规范化水平。突出事中监管、过程监管，每半年至少组织第三方专业机构开展1次评估，对各领域安全风险点和矛盾隐患点，深排细查、建立台账、狠抓整改，做到防患于未然。</w:t>
      </w:r>
      <w:r>
        <w:rPr>
          <w:rFonts w:hint="eastAsia" w:ascii="楷体_GB2312" w:eastAsia="楷体_GB2312"/>
          <w:color w:val="000000"/>
        </w:rPr>
        <w:t>（牵头部门：市应急局、市市场监管局、市住房城乡建设局、市城管局、市交通运输局、市公安局）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56.应急处置快速反应制度。</w:t>
      </w:r>
      <w:r>
        <w:rPr>
          <w:rFonts w:hint="eastAsia"/>
          <w:color w:val="000000"/>
        </w:rPr>
        <w:t>进一步规范应急突发事件响应机制和程序，优化报送环节、提高报送效率，确保应急突发事件发生后第一时间响应、第一时间处置。</w:t>
      </w:r>
      <w:r>
        <w:rPr>
          <w:rFonts w:hint="eastAsia" w:ascii="楷体_GB2312" w:eastAsia="楷体_GB2312"/>
          <w:color w:val="000000"/>
        </w:rPr>
        <w:t>（牵头部门：市应急局）</w:t>
      </w:r>
    </w:p>
    <w:p>
      <w:pPr>
        <w:spacing w:line="550" w:lineRule="exact"/>
        <w:ind w:firstLine="640" w:firstLineChars="200"/>
        <w:rPr>
          <w:rFonts w:hint="eastAsia" w:ascii="楷体_GB2312" w:eastAsia="楷体_GB2312"/>
          <w:color w:val="000000"/>
        </w:rPr>
      </w:pPr>
      <w:r>
        <w:rPr>
          <w:rFonts w:hint="eastAsia" w:ascii="楷体_GB2312" w:eastAsia="楷体_GB2312"/>
          <w:color w:val="000000"/>
        </w:rPr>
        <w:t>57.公共卫生应急管理制度。</w:t>
      </w:r>
      <w:r>
        <w:rPr>
          <w:rFonts w:hint="eastAsia"/>
          <w:color w:val="000000"/>
        </w:rPr>
        <w:t>加快补齐公共卫生法治保障短板、现代化信息系统短板、疾病预防控制体系短板、重大疫情防控救治体系短板、重大疾病医疗保险和救助制度体系短板、应急物资保障体系短板、公共卫生人才队伍短板，构建平战结合、科学高效、功能完善的公共卫生和重大疫情防控体系。优化和规范公共卫生突发事件上报机制和程序，确保发生后第一时间响应、第一时间处置。</w:t>
      </w:r>
      <w:r>
        <w:rPr>
          <w:rFonts w:hint="eastAsia" w:ascii="楷体_GB2312" w:eastAsia="楷体_GB2312"/>
          <w:color w:val="000000"/>
        </w:rPr>
        <w:t>（牵头部门：市卫生健康委）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58.救灾物资储备管理制度。</w:t>
      </w:r>
      <w:r>
        <w:rPr>
          <w:rFonts w:hint="eastAsia"/>
          <w:color w:val="000000"/>
        </w:rPr>
        <w:t>对全市救灾物资购新、储备、调拨、轮换报废及费用等进行全面规范提升，构建长效管理机制。</w:t>
      </w:r>
      <w:r>
        <w:rPr>
          <w:rFonts w:hint="eastAsia" w:ascii="楷体_GB2312" w:eastAsia="楷体_GB2312"/>
          <w:color w:val="000000"/>
        </w:rPr>
        <w:t>（牵头部门：市发展改革委、市应急局）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59.舆情应对处置制度。</w:t>
      </w:r>
      <w:r>
        <w:rPr>
          <w:rFonts w:hint="eastAsia"/>
          <w:color w:val="000000"/>
        </w:rPr>
        <w:t>按照“属地管理、分级负责、谁主管谁负责”原则，规范完善政务舆情应对处置工作流程，建立沟通协调机制，实施分级应对处置，有效回应社会关注，积极化解潜在风险。</w:t>
      </w:r>
      <w:r>
        <w:rPr>
          <w:rFonts w:hint="eastAsia" w:ascii="楷体_GB2312" w:eastAsia="楷体_GB2312"/>
          <w:color w:val="000000"/>
        </w:rPr>
        <w:t>（牵头部门：市政府办公室）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60.“最多访一次”制度。</w:t>
      </w:r>
      <w:r>
        <w:rPr>
          <w:rFonts w:hint="eastAsia"/>
          <w:color w:val="000000"/>
        </w:rPr>
        <w:t>加强和改进初信初访办理工作，健全首办负责、简易办理、提速办理、答复预审等机制，做到易事快办、急事急办、特事特办，提升办理质量、回应效率和“一次化解率”，努力实现让群众“最多访一次”。对首接不负责、遇事向外推以及处置问题重程序轻实体、重战时轻平时的，及时向市纪委监委移交问题线索。</w:t>
      </w:r>
      <w:r>
        <w:rPr>
          <w:rFonts w:hint="eastAsia" w:ascii="楷体_GB2312" w:eastAsia="楷体_GB2312"/>
          <w:color w:val="000000"/>
        </w:rPr>
        <w:t>（牵头部门：市信访局）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61.退役军人矛盾化解与信访联动制度。</w:t>
      </w:r>
      <w:r>
        <w:rPr>
          <w:rFonts w:hint="eastAsia"/>
          <w:color w:val="000000"/>
        </w:rPr>
        <w:t>建立完善市县镇村四级矛盾隐患排查化解网络，实现矛盾纠纷和信访隐患及时排查、就地化解。</w:t>
      </w:r>
      <w:r>
        <w:rPr>
          <w:rFonts w:hint="eastAsia" w:ascii="楷体_GB2312" w:eastAsia="楷体_GB2312"/>
          <w:color w:val="000000"/>
        </w:rPr>
        <w:t>（牵头部门：市退役军人局）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62.联</w:t>
      </w:r>
      <w:r>
        <w:rPr>
          <w:rFonts w:hint="eastAsia" w:ascii="楷体_GB2312" w:eastAsia="楷体_GB2312"/>
          <w:color w:val="000000"/>
          <w:spacing w:val="-4"/>
        </w:rPr>
        <w:t>合打击治理电信网络诈骗犯罪制度。</w:t>
      </w:r>
      <w:r>
        <w:rPr>
          <w:rFonts w:hint="eastAsia"/>
          <w:color w:val="000000"/>
          <w:spacing w:val="-4"/>
        </w:rPr>
        <w:t>出台具体办法，压实相关部门职责，重拳治理电信诈骗上下游黑色产业链，实施社会联合惩戒，建立发案形势通报、考核、公益宣传机制，设立防骗宣传考核指标，提升社会整体防骗能力。</w:t>
      </w:r>
      <w:r>
        <w:rPr>
          <w:rFonts w:hint="eastAsia" w:ascii="楷体_GB2312" w:eastAsia="楷体_GB2312"/>
          <w:color w:val="000000"/>
          <w:spacing w:val="-4"/>
        </w:rPr>
        <w:t>（牵头部门：市公安局）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63.</w:t>
      </w:r>
      <w:r>
        <w:rPr>
          <w:rFonts w:hint="eastAsia" w:ascii="楷体_GB2312" w:hAnsi="仿宋_GB2312" w:eastAsia="楷体_GB2312" w:cs="仿宋_GB2312"/>
          <w:color w:val="000000"/>
        </w:rPr>
        <w:t>打击逃废银行债务工作制度。</w:t>
      </w:r>
      <w:r>
        <w:rPr>
          <w:rFonts w:hint="eastAsia" w:hAnsi="仿宋_GB2312" w:cs="仿宋_GB2312"/>
          <w:color w:val="000000"/>
        </w:rPr>
        <w:t>不断加大对涉嫌犯罪的恶意逃废银行债务行为的刑事打击力度，对失信执行人予以联合惩戒，维护银行合法债权，优化全市金融生态环境。</w:t>
      </w:r>
      <w:r>
        <w:rPr>
          <w:rFonts w:hint="eastAsia" w:ascii="楷体_GB2312" w:eastAsia="楷体_GB2312"/>
          <w:color w:val="000000"/>
        </w:rPr>
        <w:t>（牵头部门：市地方金融监管局、市公安局、烟台银保监分局）</w:t>
      </w:r>
    </w:p>
    <w:p>
      <w:pPr>
        <w:spacing w:line="550" w:lineRule="exact"/>
        <w:ind w:firstLine="640" w:firstLineChars="200"/>
        <w:rPr>
          <w:rFonts w:hint="eastAsia"/>
          <w:color w:val="000000"/>
        </w:rPr>
      </w:pPr>
      <w:r>
        <w:rPr>
          <w:rFonts w:hint="eastAsia" w:ascii="楷体_GB2312" w:eastAsia="楷体_GB2312"/>
          <w:color w:val="000000"/>
        </w:rPr>
        <w:t>64.道路交通安全生命防护制度。</w:t>
      </w:r>
      <w:r>
        <w:rPr>
          <w:rFonts w:hint="eastAsia"/>
          <w:color w:val="000000"/>
        </w:rPr>
        <w:t>以防事故、强安全、保畅通为目标，深入排查道路交通安全隐患，加强重点路段隐患整改、智慧交通建设，落实交通安全设施“三同时”等措施，提高交通安全防护水平。</w:t>
      </w:r>
      <w:r>
        <w:rPr>
          <w:rFonts w:hint="eastAsia" w:ascii="楷体_GB2312" w:eastAsia="楷体_GB2312"/>
          <w:color w:val="000000"/>
        </w:rPr>
        <w:t>（牵头部门：市公安局、市交通运输局）</w:t>
      </w:r>
    </w:p>
    <w:p>
      <w:pPr>
        <w:spacing w:line="550" w:lineRule="exact"/>
        <w:ind w:firstLine="640" w:firstLineChars="200"/>
        <w:rPr>
          <w:rFonts w:hint="eastAsia" w:eastAsia="宋体"/>
        </w:rPr>
      </w:pPr>
      <w:r>
        <w:rPr>
          <w:rFonts w:hint="eastAsia" w:ascii="楷体_GB2312" w:eastAsia="楷体_GB2312"/>
          <w:color w:val="000000"/>
        </w:rPr>
        <w:t>65.农业机械安全管理制度。</w:t>
      </w:r>
      <w:r>
        <w:rPr>
          <w:rFonts w:hint="eastAsia"/>
          <w:color w:val="000000"/>
        </w:rPr>
        <w:t>制定加强拖拉机、三轮车、联合收割机等农用机械管理办法，加强源头管控，严把注册登记、年度检验、驾驶证考核申领关口，加强日常监管，最大限度降低农业机械安全事故。</w:t>
      </w:r>
      <w:r>
        <w:rPr>
          <w:rFonts w:hint="eastAsia" w:ascii="楷体_GB2312" w:eastAsia="楷体_GB2312"/>
          <w:color w:val="000000"/>
        </w:rPr>
        <w:t>（牵头部门：市农业农村局、市公安局）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F63612"/>
    <w:rsid w:val="1AF6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2021-10-22T01:34:00Z</dcterms:created>
  <dc:creator>Administrator</dc:creator>
  <cp:lastModifiedBy>Administrator</cp:lastModifiedBy>
  <dcterms:modified xsi:type="dcterms:W3CDTF">2021-10-22T01:35:18Z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EB5A6D19651848BAA8724CDBA7B5E0E6</vt:lpwstr>
  </property>
</Properties>
</file>