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仿宋" w:hAnsi="仿宋" w:cs="宋体"/>
          <w:kern w:val="0"/>
        </w:rPr>
      </w:pPr>
      <w:r>
        <w:rPr>
          <w:rFonts w:hint="eastAsia" w:ascii="黑体" w:hAnsi="黑体" w:eastAsia="黑体" w:cs="黑体"/>
          <w:kern w:val="0"/>
        </w:rPr>
        <w:t>附件</w:t>
      </w:r>
    </w:p>
    <w:p>
      <w:pPr>
        <w:widowControl/>
        <w:spacing w:before="289" w:beforeLines="50" w:after="289" w:afterLines="50" w:line="560" w:lineRule="exact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重点任务分工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88"/>
        <w:gridCol w:w="920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4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重点任务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负　　责　　单　　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399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明确监管主体,落实监管责任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加强党的领导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市卫生健康委、市纪委监委机关、市委组织部负责（排在第一位的部门为牵头部门，下同）。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强化政府主导责任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各区市政府（管委）、市卫生健康委、市发展改革委、市财政局、市委编办、市人力资源社会保障局、市市场监管局、市医保局负责。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落实部门监管责任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教育局、市公安局、市民政局、市司法局、市财政局、市人力资源社会保障局、市文化和旅游局、市生态环境局、市住房城乡建设局、市水利局、市商务局、市应急局、人民银行市中心支行、市审计局、市国资委、烟台海关、市税务局、市市场监管局、市医保局、烟台银保监分局、市大数据局、驻烟部队卫生主管部门等部门分别负责（分别负责为各部门按职责分别牵头，下同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落实医疗卫生机构主体责任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市卫生健康委牵头，市民政局、市教育局、市人力资源社会保障局、市国资委参与。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发挥行业组织自律作用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市卫生健康委、市民政局分别负责。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加强社会监督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市卫生健康委牵头，各医疗卫生行业综合监管相关部门参与。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3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明确监管任务，加强全过程监管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加强医疗卫生服务要素准入监管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市卫生健康委、市发展改革委、市科技局、市应急局、市民政局、市生态环境局、市行政审批服务局、市市场监管局分别负责，市人力资源社会保障局、市商务局、市大数据局、烟台海关参与。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加强医疗服务质量和安全监管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市卫生健康委、市教育局、市民政局、市司法局负责，市国资委参与。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加强医疗卫生机构运行监管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市卫生健康委、市财政局、市审计局分别负责，市发展改革委、市教育局、市人力资源社会保障局、市国资委、市税务局、市医保局参与。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加强对医疗机构采购和使用药品、耗材、医疗器械等医疗相关产品的监管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市卫生健康委、市教育局、市国资委、烟台海关、市医保局、市市场监管局负责。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发挥各类医疗保险对医疗服务行为的引导与监督制约作用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市医保局、烟台银保监分局分别负责，市发展改革委、市财政局、市卫生健康委参与。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加强医疗机构分类监管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spacing w:val="-6"/>
                <w:kern w:val="0"/>
                <w:sz w:val="28"/>
                <w:szCs w:val="28"/>
              </w:rPr>
              <w:t>市卫生健康委、市民政局、市财政局、市审计局、市市场监管局分别负责，市发展改革委、市人力资源社会保障局、市国资委、市税务局、市医保局参与。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楷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加强医疗卫生从业人员监管</w:t>
            </w:r>
          </w:p>
        </w:tc>
        <w:tc>
          <w:tcPr>
            <w:tcW w:w="9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市卫生健康委、市行政审批服务局分别负责。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加强医疗服务行业秩序监管，打击违法犯罪行为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cs="宋体"/>
                <w:kern w:val="0"/>
                <w:sz w:val="28"/>
                <w:szCs w:val="28"/>
              </w:rPr>
              <w:t>市卫生健康委、市委网信办、市公安局、市司法局、市人力资源社会保障局、</w:t>
            </w:r>
            <w:r>
              <w:rPr>
                <w:rFonts w:hint="eastAsia" w:cs="宋体"/>
                <w:color w:val="000000"/>
                <w:kern w:val="0"/>
                <w:sz w:val="28"/>
                <w:szCs w:val="28"/>
              </w:rPr>
              <w:t>市</w:t>
            </w:r>
            <w:r>
              <w:rPr>
                <w:rFonts w:hint="eastAsia" w:hAnsi="宋体" w:cs="宋体"/>
                <w:color w:val="000000"/>
                <w:kern w:val="0"/>
                <w:sz w:val="28"/>
                <w:szCs w:val="28"/>
              </w:rPr>
              <w:t>文化和旅游局</w:t>
            </w:r>
            <w:r>
              <w:rPr>
                <w:rFonts w:hint="eastAsia" w:cs="宋体"/>
                <w:kern w:val="0"/>
                <w:sz w:val="28"/>
                <w:szCs w:val="28"/>
              </w:rPr>
              <w:t>、市市场监管局、市医保局、烟台银保监分局分别负责，市纪委监委机关、市委政法委、市法院、市检察院参与。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加强公共卫生服务监管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市卫生健康委、市发展改革委、市教育局、市财政局、市生态环境局、市住房城乡建设局、市水利局、市市场监管局、烟台海关负责。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加强健康产业监管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网信办、市发展改革委、市科技局、市工业和信息化局、市民政局、市财政局、市人力资源社会保障局、市文化和旅游局、市国资委、市市场监管局、市体育局、市医保局、烟台银保监分局、烟台海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39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健全监管机制，创新监管方式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完善规范化行政执法机制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市卫生健康委、市司法局、市公安局、市法院、市检察院、市纪委监委机关负责。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全面推行“双随机、一公开”抽查机制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市卫生健康委、市发展改革委、市人力资源社会保障局、市市场监管局、市医保局、市税务局、烟台海关负责。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建立健全医疗卫生行业信用机制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市卫生健康委、市发展改革委、人民银行市中心支行、市公安局、市财政局、市人力资源社会保障局、市市场监管局、市医保局、市税务局、烟台海关、市法院、市检察院负责。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健全信息公开机制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市卫生健康委、市发展改革委、市公安局、市财政局、市人力资源社会保障局、市商务局、市国资委、市市场监管局、市医保局、市税务局、烟台海关负责。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建立风险预警和评估机制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市卫生健康委、市委网信办、市发展改革委、市市场监管局、市医保局、市教育局、市财政局、市人力资源社会保障局、市国资委、市税务局、烟台海关负责。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形成网格化管理机制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市卫生健康委、市委政法委、市住房城乡建设局负责。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建立综合监管结果协同运用机制</w:t>
            </w:r>
          </w:p>
        </w:tc>
        <w:tc>
          <w:tcPr>
            <w:tcW w:w="9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市卫生健康委、市发展改革委、市教育局、市财政局、市人力资源社会保障局、市国资委、市医保局负责。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399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加强保障落实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提升信息化水平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市卫生健康委、市委网信办、市发展改革委、市财政局、市市场监管局、市大数据局负责。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楷体" w:cs="宋体"/>
                <w:kern w:val="0"/>
                <w:sz w:val="28"/>
                <w:szCs w:val="28"/>
              </w:rPr>
              <w:t>加强队伍和能力建设</w:t>
            </w:r>
          </w:p>
        </w:tc>
        <w:tc>
          <w:tcPr>
            <w:tcW w:w="920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市卫生健康委、市委组织部、市委编办、市发展改革委、市财政局、市人力资源社会保障局、市医保局、市市场监管局分别负责。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加强宣传引导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市卫生健康委、市委宣传部、市委网信办分别负责。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399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强化组织领导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加强组织领导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各区市政府（管委）、各有关部门分别负责。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强化工作督察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市卫生健康委负责，其他相关部门参与。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78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left"/>
              <w:rPr>
                <w:rFonts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严格责任追究</w:t>
            </w:r>
          </w:p>
        </w:tc>
        <w:tc>
          <w:tcPr>
            <w:tcW w:w="9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hAnsi="宋体" w:cs="宋体"/>
                <w:kern w:val="0"/>
                <w:sz w:val="28"/>
                <w:szCs w:val="28"/>
              </w:rPr>
            </w:pPr>
            <w:r>
              <w:rPr>
                <w:rFonts w:hint="eastAsia" w:hAnsi="宋体" w:cs="宋体"/>
                <w:kern w:val="0"/>
                <w:sz w:val="28"/>
                <w:szCs w:val="28"/>
              </w:rPr>
              <w:t>市卫生健康委负责，其他相关部门参与。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F028F"/>
    <w:rsid w:val="20B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/>
      <w:sz w:val="18"/>
      <w:szCs w:val="18"/>
    </w:rPr>
  </w:style>
  <w:style w:type="character" w:styleId="6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2021-11-09T08:47:00Z</dcterms:created>
  <dc:creator>Administrator</dc:creator>
  <cp:lastModifiedBy>Administrator</cp:lastModifiedBy>
  <dcterms:modified xsi:type="dcterms:W3CDTF">2021-11-09T08:47:41Z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BE36ADA567334E00B0F0BE8C0E5CBA7C</vt:lpwstr>
  </property>
</Properties>
</file>