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jc w:val="left"/>
        <w:rPr>
          <w:rFonts w:ascii="黑体" w:hAnsi="黑体" w:eastAsia="黑体" w:cs="宋体"/>
          <w:color w:val="000000"/>
          <w:kern w:val="0"/>
          <w:szCs w:val="32"/>
        </w:rPr>
      </w:pPr>
      <w:r>
        <w:rPr>
          <w:rFonts w:hint="eastAsia" w:ascii="黑体" w:hAnsi="黑体" w:eastAsia="黑体" w:cs="宋体"/>
          <w:color w:val="000000"/>
          <w:kern w:val="0"/>
          <w:szCs w:val="32"/>
        </w:rPr>
        <w:t>附件3</w:t>
      </w:r>
    </w:p>
    <w:p>
      <w:pPr>
        <w:spacing w:before="289" w:beforeLines="50" w:after="289" w:afterLines="50" w:line="560" w:lineRule="exact"/>
        <w:jc w:val="center"/>
        <w:rPr>
          <w:rFonts w:ascii="方正小标宋简体" w:eastAsia="方正小标宋简体"/>
          <w:color w:val="000000"/>
          <w:sz w:val="44"/>
          <w:szCs w:val="44"/>
        </w:rPr>
      </w:pPr>
      <w:r>
        <w:rPr>
          <w:rFonts w:hint="eastAsia" w:ascii="方正小标宋简体" w:eastAsia="方正小标宋简体"/>
          <w:color w:val="000000"/>
          <w:sz w:val="44"/>
          <w:szCs w:val="44"/>
        </w:rPr>
        <w:t>“十三五”主要行业和部门节能指标</w:t>
      </w:r>
    </w:p>
    <w:tbl>
      <w:tblPr>
        <w:tblStyle w:val="2"/>
        <w:tblW w:w="5000" w:type="pct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661"/>
        <w:gridCol w:w="1573"/>
        <w:gridCol w:w="936"/>
        <w:gridCol w:w="936"/>
        <w:gridCol w:w="1416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  <w:jc w:val="center"/>
        </w:trPr>
        <w:tc>
          <w:tcPr>
            <w:tcW w:w="2180" w:type="pct"/>
            <w:vMerge w:val="restart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color w:val="000000"/>
                <w:kern w:val="0"/>
                <w:sz w:val="24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4"/>
              </w:rPr>
              <w:t>指标</w:t>
            </w:r>
          </w:p>
        </w:tc>
        <w:tc>
          <w:tcPr>
            <w:tcW w:w="955" w:type="pct"/>
            <w:vMerge w:val="restart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color w:val="000000"/>
                <w:kern w:val="0"/>
                <w:sz w:val="24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4"/>
              </w:rPr>
              <w:t>单位</w:t>
            </w:r>
          </w:p>
        </w:tc>
        <w:tc>
          <w:tcPr>
            <w:tcW w:w="568" w:type="pct"/>
            <w:vMerge w:val="restart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color w:val="000000"/>
                <w:kern w:val="0"/>
                <w:sz w:val="24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4"/>
              </w:rPr>
              <w:t>2015年实际值</w:t>
            </w:r>
          </w:p>
        </w:tc>
        <w:tc>
          <w:tcPr>
            <w:tcW w:w="1297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color w:val="000000"/>
                <w:kern w:val="0"/>
                <w:sz w:val="24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4"/>
              </w:rPr>
              <w:t>2020年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  <w:jc w:val="center"/>
        </w:trPr>
        <w:tc>
          <w:tcPr>
            <w:tcW w:w="2180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jc w:val="left"/>
              <w:rPr>
                <w:rFonts w:ascii="黑体" w:hAnsi="黑体" w:eastAsia="黑体" w:cs="宋体"/>
                <w:color w:val="000000"/>
                <w:kern w:val="0"/>
                <w:sz w:val="24"/>
              </w:rPr>
            </w:pPr>
          </w:p>
        </w:tc>
        <w:tc>
          <w:tcPr>
            <w:tcW w:w="955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jc w:val="left"/>
              <w:rPr>
                <w:rFonts w:ascii="黑体" w:hAnsi="黑体" w:eastAsia="黑体" w:cs="宋体"/>
                <w:color w:val="000000"/>
                <w:kern w:val="0"/>
                <w:sz w:val="24"/>
              </w:rPr>
            </w:pPr>
          </w:p>
        </w:tc>
        <w:tc>
          <w:tcPr>
            <w:tcW w:w="568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jc w:val="left"/>
              <w:rPr>
                <w:rFonts w:ascii="黑体" w:hAnsi="黑体" w:eastAsia="黑体" w:cs="宋体"/>
                <w:color w:val="000000"/>
                <w:kern w:val="0"/>
                <w:sz w:val="24"/>
              </w:rPr>
            </w:pPr>
          </w:p>
        </w:tc>
        <w:tc>
          <w:tcPr>
            <w:tcW w:w="52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color w:val="000000"/>
                <w:kern w:val="0"/>
                <w:sz w:val="24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4"/>
              </w:rPr>
              <w:t>目标值</w:t>
            </w:r>
          </w:p>
        </w:tc>
        <w:tc>
          <w:tcPr>
            <w:tcW w:w="77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color w:val="000000"/>
                <w:kern w:val="0"/>
                <w:sz w:val="24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4"/>
              </w:rPr>
              <w:t>变化幅度/变化率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  <w:jc w:val="center"/>
        </w:trPr>
        <w:tc>
          <w:tcPr>
            <w:tcW w:w="5000" w:type="pct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jc w:val="left"/>
              <w:rPr>
                <w:rFonts w:hint="eastAsia" w:ascii="仿宋_GB2312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cs="宋体"/>
                <w:color w:val="000000"/>
                <w:kern w:val="0"/>
                <w:sz w:val="24"/>
              </w:rPr>
              <w:t>工业：（牵头部门：市经济和信息化委）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  <w:jc w:val="center"/>
        </w:trPr>
        <w:tc>
          <w:tcPr>
            <w:tcW w:w="2180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_GB2312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cs="宋体"/>
                <w:color w:val="000000"/>
                <w:kern w:val="0"/>
                <w:sz w:val="24"/>
              </w:rPr>
              <w:t>单位工业增加值（规模以上）能耗</w:t>
            </w:r>
          </w:p>
        </w:tc>
        <w:tc>
          <w:tcPr>
            <w:tcW w:w="95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_GB2312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cs="宋体"/>
                <w:color w:val="000000"/>
                <w:kern w:val="0"/>
                <w:sz w:val="24"/>
              </w:rPr>
              <w:t>　</w:t>
            </w:r>
          </w:p>
        </w:tc>
        <w:tc>
          <w:tcPr>
            <w:tcW w:w="56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_GB2312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cs="宋体"/>
                <w:color w:val="000000"/>
                <w:kern w:val="0"/>
                <w:sz w:val="24"/>
              </w:rPr>
              <w:t>—</w:t>
            </w:r>
          </w:p>
        </w:tc>
        <w:tc>
          <w:tcPr>
            <w:tcW w:w="52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_GB2312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cs="宋体"/>
                <w:color w:val="000000"/>
                <w:kern w:val="0"/>
                <w:sz w:val="24"/>
              </w:rPr>
              <w:t>—</w:t>
            </w:r>
          </w:p>
        </w:tc>
        <w:tc>
          <w:tcPr>
            <w:tcW w:w="77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_GB2312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cs="宋体"/>
                <w:color w:val="000000"/>
                <w:kern w:val="0"/>
                <w:sz w:val="24"/>
              </w:rPr>
              <w:t>[-20%]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  <w:jc w:val="center"/>
        </w:trPr>
        <w:tc>
          <w:tcPr>
            <w:tcW w:w="2180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_GB2312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cs="宋体"/>
                <w:color w:val="000000"/>
                <w:kern w:val="0"/>
                <w:sz w:val="24"/>
              </w:rPr>
              <w:t>煤电供电煤耗</w:t>
            </w:r>
          </w:p>
        </w:tc>
        <w:tc>
          <w:tcPr>
            <w:tcW w:w="95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_GB2312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cs="宋体"/>
                <w:color w:val="000000"/>
                <w:kern w:val="0"/>
                <w:sz w:val="24"/>
              </w:rPr>
              <w:t>克标准煤/千瓦时</w:t>
            </w:r>
          </w:p>
        </w:tc>
        <w:tc>
          <w:tcPr>
            <w:tcW w:w="56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_GB2312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cs="宋体"/>
                <w:color w:val="000000"/>
                <w:kern w:val="0"/>
                <w:sz w:val="24"/>
              </w:rPr>
              <w:t>314</w:t>
            </w:r>
          </w:p>
        </w:tc>
        <w:tc>
          <w:tcPr>
            <w:tcW w:w="52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_GB2312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cs="宋体"/>
                <w:color w:val="000000"/>
                <w:kern w:val="0"/>
                <w:sz w:val="24"/>
              </w:rPr>
              <w:t>310</w:t>
            </w:r>
          </w:p>
        </w:tc>
        <w:tc>
          <w:tcPr>
            <w:tcW w:w="77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_GB2312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cs="宋体"/>
                <w:color w:val="000000"/>
                <w:kern w:val="0"/>
                <w:sz w:val="24"/>
              </w:rPr>
              <w:t>-4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  <w:jc w:val="center"/>
        </w:trPr>
        <w:tc>
          <w:tcPr>
            <w:tcW w:w="2180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_GB2312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cs="宋体"/>
                <w:color w:val="000000"/>
                <w:kern w:val="0"/>
                <w:sz w:val="24"/>
              </w:rPr>
              <w:t>水泥熟料综合能耗</w:t>
            </w:r>
          </w:p>
        </w:tc>
        <w:tc>
          <w:tcPr>
            <w:tcW w:w="95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_GB2312" w:hAnsi="宋体" w:cs="宋体"/>
                <w:color w:val="000000"/>
                <w:spacing w:val="-8"/>
                <w:kern w:val="0"/>
                <w:sz w:val="24"/>
              </w:rPr>
            </w:pPr>
            <w:r>
              <w:rPr>
                <w:rFonts w:hint="eastAsia" w:ascii="仿宋_GB2312" w:hAnsi="宋体" w:cs="宋体"/>
                <w:color w:val="000000"/>
                <w:spacing w:val="-8"/>
                <w:kern w:val="0"/>
                <w:sz w:val="24"/>
              </w:rPr>
              <w:t>千克标准煤/吨</w:t>
            </w:r>
          </w:p>
        </w:tc>
        <w:tc>
          <w:tcPr>
            <w:tcW w:w="56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_GB2312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cs="宋体"/>
                <w:color w:val="000000"/>
                <w:kern w:val="0"/>
                <w:sz w:val="24"/>
              </w:rPr>
              <w:t>113</w:t>
            </w:r>
          </w:p>
        </w:tc>
        <w:tc>
          <w:tcPr>
            <w:tcW w:w="52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_GB2312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cs="宋体"/>
                <w:color w:val="000000"/>
                <w:kern w:val="0"/>
                <w:sz w:val="24"/>
              </w:rPr>
              <w:t>105</w:t>
            </w:r>
          </w:p>
        </w:tc>
        <w:tc>
          <w:tcPr>
            <w:tcW w:w="77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_GB2312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cs="宋体"/>
                <w:color w:val="000000"/>
                <w:kern w:val="0"/>
                <w:sz w:val="24"/>
              </w:rPr>
              <w:t>-8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  <w:jc w:val="center"/>
        </w:trPr>
        <w:tc>
          <w:tcPr>
            <w:tcW w:w="2180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_GB2312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cs="宋体"/>
                <w:color w:val="000000"/>
                <w:kern w:val="0"/>
                <w:sz w:val="24"/>
              </w:rPr>
              <w:t>电解铝液交流电耗</w:t>
            </w:r>
          </w:p>
        </w:tc>
        <w:tc>
          <w:tcPr>
            <w:tcW w:w="95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_GB2312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cs="宋体"/>
                <w:color w:val="000000"/>
                <w:kern w:val="0"/>
                <w:sz w:val="24"/>
              </w:rPr>
              <w:t>千瓦时/吨</w:t>
            </w:r>
          </w:p>
        </w:tc>
        <w:tc>
          <w:tcPr>
            <w:tcW w:w="56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_GB2312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cs="宋体"/>
                <w:color w:val="000000"/>
                <w:kern w:val="0"/>
                <w:sz w:val="24"/>
              </w:rPr>
              <w:t>13314</w:t>
            </w:r>
          </w:p>
        </w:tc>
        <w:tc>
          <w:tcPr>
            <w:tcW w:w="52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_GB2312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cs="宋体"/>
                <w:color w:val="000000"/>
                <w:kern w:val="0"/>
                <w:sz w:val="24"/>
              </w:rPr>
              <w:t>13200</w:t>
            </w:r>
          </w:p>
        </w:tc>
        <w:tc>
          <w:tcPr>
            <w:tcW w:w="77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_GB2312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cs="宋体"/>
                <w:color w:val="000000"/>
                <w:kern w:val="0"/>
                <w:sz w:val="24"/>
              </w:rPr>
              <w:t>-114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  <w:jc w:val="center"/>
        </w:trPr>
        <w:tc>
          <w:tcPr>
            <w:tcW w:w="2180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_GB2312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cs="宋体"/>
                <w:color w:val="000000"/>
                <w:kern w:val="0"/>
                <w:sz w:val="24"/>
              </w:rPr>
              <w:t>轮胎综合能耗（全钢子午胎）</w:t>
            </w:r>
          </w:p>
        </w:tc>
        <w:tc>
          <w:tcPr>
            <w:tcW w:w="95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_GB2312" w:hAnsi="宋体" w:cs="宋体"/>
                <w:color w:val="000000"/>
                <w:spacing w:val="-8"/>
                <w:kern w:val="0"/>
                <w:sz w:val="24"/>
              </w:rPr>
            </w:pPr>
            <w:r>
              <w:rPr>
                <w:rFonts w:hint="eastAsia" w:ascii="仿宋_GB2312" w:hAnsi="宋体" w:cs="宋体"/>
                <w:color w:val="000000"/>
                <w:spacing w:val="-8"/>
                <w:kern w:val="0"/>
                <w:sz w:val="24"/>
              </w:rPr>
              <w:t>千克标准煤/吨</w:t>
            </w:r>
          </w:p>
        </w:tc>
        <w:tc>
          <w:tcPr>
            <w:tcW w:w="56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_GB2312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cs="宋体"/>
                <w:color w:val="000000"/>
                <w:kern w:val="0"/>
                <w:sz w:val="24"/>
              </w:rPr>
              <w:t>276</w:t>
            </w:r>
          </w:p>
        </w:tc>
        <w:tc>
          <w:tcPr>
            <w:tcW w:w="52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_GB2312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cs="宋体"/>
                <w:color w:val="000000"/>
                <w:kern w:val="0"/>
                <w:sz w:val="24"/>
              </w:rPr>
              <w:t>248</w:t>
            </w:r>
          </w:p>
        </w:tc>
        <w:tc>
          <w:tcPr>
            <w:tcW w:w="77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_GB2312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cs="宋体"/>
                <w:color w:val="000000"/>
                <w:kern w:val="0"/>
                <w:sz w:val="24"/>
              </w:rPr>
              <w:t>-28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  <w:jc w:val="center"/>
        </w:trPr>
        <w:tc>
          <w:tcPr>
            <w:tcW w:w="2180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_GB2312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cs="宋体"/>
                <w:color w:val="000000"/>
                <w:kern w:val="0"/>
                <w:sz w:val="24"/>
              </w:rPr>
              <w:t>（半钢子午胎）</w:t>
            </w:r>
          </w:p>
        </w:tc>
        <w:tc>
          <w:tcPr>
            <w:tcW w:w="95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_GB2312" w:hAnsi="宋体" w:cs="宋体"/>
                <w:color w:val="000000"/>
                <w:spacing w:val="-8"/>
                <w:kern w:val="0"/>
                <w:sz w:val="24"/>
              </w:rPr>
            </w:pPr>
            <w:r>
              <w:rPr>
                <w:rFonts w:hint="eastAsia" w:ascii="仿宋_GB2312" w:hAnsi="宋体" w:cs="宋体"/>
                <w:color w:val="000000"/>
                <w:spacing w:val="-8"/>
                <w:kern w:val="0"/>
                <w:sz w:val="24"/>
              </w:rPr>
              <w:t>千克标准煤/吨</w:t>
            </w:r>
          </w:p>
        </w:tc>
        <w:tc>
          <w:tcPr>
            <w:tcW w:w="56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_GB2312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cs="宋体"/>
                <w:color w:val="000000"/>
                <w:kern w:val="0"/>
                <w:sz w:val="24"/>
              </w:rPr>
              <w:t>344</w:t>
            </w:r>
          </w:p>
        </w:tc>
        <w:tc>
          <w:tcPr>
            <w:tcW w:w="52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_GB2312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cs="宋体"/>
                <w:color w:val="000000"/>
                <w:kern w:val="0"/>
                <w:sz w:val="24"/>
              </w:rPr>
              <w:t>300</w:t>
            </w:r>
          </w:p>
        </w:tc>
        <w:tc>
          <w:tcPr>
            <w:tcW w:w="77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_GB2312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cs="宋体"/>
                <w:color w:val="000000"/>
                <w:kern w:val="0"/>
                <w:sz w:val="24"/>
              </w:rPr>
              <w:t>-44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  <w:jc w:val="center"/>
        </w:trPr>
        <w:tc>
          <w:tcPr>
            <w:tcW w:w="2180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_GB2312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cs="宋体"/>
                <w:color w:val="000000"/>
                <w:kern w:val="0"/>
                <w:sz w:val="24"/>
              </w:rPr>
              <w:t>乙烯综合能耗</w:t>
            </w:r>
          </w:p>
        </w:tc>
        <w:tc>
          <w:tcPr>
            <w:tcW w:w="95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_GB2312" w:hAnsi="宋体" w:cs="宋体"/>
                <w:color w:val="000000"/>
                <w:spacing w:val="-8"/>
                <w:kern w:val="0"/>
                <w:sz w:val="24"/>
              </w:rPr>
            </w:pPr>
            <w:r>
              <w:rPr>
                <w:rFonts w:hint="eastAsia" w:ascii="仿宋_GB2312" w:hAnsi="宋体" w:cs="宋体"/>
                <w:color w:val="000000"/>
                <w:spacing w:val="-8"/>
                <w:kern w:val="0"/>
                <w:sz w:val="24"/>
              </w:rPr>
              <w:t>千克标准煤/吨</w:t>
            </w:r>
          </w:p>
        </w:tc>
        <w:tc>
          <w:tcPr>
            <w:tcW w:w="56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_GB2312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cs="宋体"/>
                <w:color w:val="000000"/>
                <w:kern w:val="0"/>
                <w:sz w:val="24"/>
              </w:rPr>
              <w:t>　</w:t>
            </w:r>
          </w:p>
        </w:tc>
        <w:tc>
          <w:tcPr>
            <w:tcW w:w="52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_GB2312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cs="宋体"/>
                <w:color w:val="000000"/>
                <w:kern w:val="0"/>
                <w:sz w:val="24"/>
              </w:rPr>
              <w:t>790</w:t>
            </w:r>
          </w:p>
        </w:tc>
        <w:tc>
          <w:tcPr>
            <w:tcW w:w="77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_GB2312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cs="宋体"/>
                <w:color w:val="000000"/>
                <w:kern w:val="0"/>
                <w:sz w:val="24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  <w:jc w:val="center"/>
        </w:trPr>
        <w:tc>
          <w:tcPr>
            <w:tcW w:w="5000" w:type="pct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jc w:val="left"/>
              <w:rPr>
                <w:rFonts w:hint="eastAsia" w:ascii="仿宋_GB2312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cs="宋体"/>
                <w:color w:val="000000"/>
                <w:kern w:val="0"/>
                <w:sz w:val="24"/>
              </w:rPr>
              <w:t>建筑：（牵头部门：市住房城乡建设局）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  <w:jc w:val="center"/>
        </w:trPr>
        <w:tc>
          <w:tcPr>
            <w:tcW w:w="2180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_GB2312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cs="宋体"/>
                <w:color w:val="000000"/>
                <w:kern w:val="0"/>
                <w:sz w:val="24"/>
              </w:rPr>
              <w:t>公共建筑节能改造累计面积</w:t>
            </w:r>
          </w:p>
        </w:tc>
        <w:tc>
          <w:tcPr>
            <w:tcW w:w="95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_GB2312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cs="宋体"/>
                <w:color w:val="000000"/>
                <w:kern w:val="0"/>
                <w:sz w:val="24"/>
              </w:rPr>
              <w:t>亿平方米</w:t>
            </w:r>
          </w:p>
        </w:tc>
        <w:tc>
          <w:tcPr>
            <w:tcW w:w="56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_GB2312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cs="宋体"/>
                <w:color w:val="000000"/>
                <w:kern w:val="0"/>
                <w:sz w:val="24"/>
              </w:rPr>
              <w:t>0.0105</w:t>
            </w:r>
          </w:p>
        </w:tc>
        <w:tc>
          <w:tcPr>
            <w:tcW w:w="52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_GB2312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cs="宋体"/>
                <w:color w:val="000000"/>
                <w:kern w:val="0"/>
                <w:sz w:val="24"/>
              </w:rPr>
              <w:t>0.011</w:t>
            </w:r>
          </w:p>
        </w:tc>
        <w:tc>
          <w:tcPr>
            <w:tcW w:w="77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_GB2312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cs="宋体"/>
                <w:color w:val="000000"/>
                <w:kern w:val="0"/>
                <w:sz w:val="24"/>
              </w:rPr>
              <w:t>+0.005/10%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  <w:jc w:val="center"/>
        </w:trPr>
        <w:tc>
          <w:tcPr>
            <w:tcW w:w="2180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_GB2312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cs="宋体"/>
                <w:color w:val="000000"/>
                <w:kern w:val="0"/>
                <w:sz w:val="24"/>
              </w:rPr>
              <w:t>城镇绿色建筑占新建建筑的比重</w:t>
            </w:r>
          </w:p>
        </w:tc>
        <w:tc>
          <w:tcPr>
            <w:tcW w:w="95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_GB2312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cs="宋体"/>
                <w:color w:val="000000"/>
                <w:kern w:val="0"/>
                <w:sz w:val="24"/>
              </w:rPr>
              <w:t>%</w:t>
            </w:r>
          </w:p>
        </w:tc>
        <w:tc>
          <w:tcPr>
            <w:tcW w:w="56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_GB2312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cs="宋体"/>
                <w:color w:val="000000"/>
                <w:kern w:val="0"/>
                <w:sz w:val="24"/>
              </w:rPr>
              <w:t>20</w:t>
            </w:r>
          </w:p>
        </w:tc>
        <w:tc>
          <w:tcPr>
            <w:tcW w:w="52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_GB2312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cs="宋体"/>
                <w:color w:val="000000"/>
                <w:kern w:val="0"/>
                <w:sz w:val="24"/>
              </w:rPr>
              <w:t>90</w:t>
            </w:r>
          </w:p>
        </w:tc>
        <w:tc>
          <w:tcPr>
            <w:tcW w:w="77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_GB2312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cs="宋体"/>
                <w:color w:val="000000"/>
                <w:kern w:val="0"/>
                <w:sz w:val="24"/>
              </w:rPr>
              <w:t>+70/350%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  <w:jc w:val="center"/>
        </w:trPr>
        <w:tc>
          <w:tcPr>
            <w:tcW w:w="5000" w:type="pct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jc w:val="left"/>
              <w:rPr>
                <w:rFonts w:hint="eastAsia" w:ascii="仿宋_GB2312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cs="宋体"/>
                <w:color w:val="000000"/>
                <w:kern w:val="0"/>
                <w:sz w:val="24"/>
              </w:rPr>
              <w:t>交通运输：（牵头部门：市交通运输局）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  <w:jc w:val="center"/>
        </w:trPr>
        <w:tc>
          <w:tcPr>
            <w:tcW w:w="2180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_GB2312" w:hAnsi="宋体" w:cs="宋体"/>
                <w:color w:val="000000"/>
                <w:spacing w:val="-4"/>
                <w:kern w:val="0"/>
                <w:sz w:val="24"/>
              </w:rPr>
            </w:pPr>
            <w:r>
              <w:rPr>
                <w:rFonts w:hint="eastAsia" w:ascii="仿宋_GB2312" w:hAnsi="宋体" w:cs="宋体"/>
                <w:color w:val="000000"/>
                <w:spacing w:val="-4"/>
                <w:kern w:val="0"/>
                <w:sz w:val="24"/>
              </w:rPr>
              <w:t>营运客车单位运输周转量能耗下降率</w:t>
            </w:r>
          </w:p>
        </w:tc>
        <w:tc>
          <w:tcPr>
            <w:tcW w:w="95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_GB2312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cs="宋体"/>
                <w:color w:val="000000"/>
                <w:kern w:val="0"/>
                <w:sz w:val="24"/>
              </w:rPr>
              <w:t>　</w:t>
            </w:r>
          </w:p>
        </w:tc>
        <w:tc>
          <w:tcPr>
            <w:tcW w:w="56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_GB2312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cs="宋体"/>
                <w:color w:val="000000"/>
                <w:kern w:val="0"/>
                <w:sz w:val="24"/>
              </w:rPr>
              <w:t>—</w:t>
            </w:r>
          </w:p>
        </w:tc>
        <w:tc>
          <w:tcPr>
            <w:tcW w:w="52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_GB2312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cs="宋体"/>
                <w:color w:val="000000"/>
                <w:kern w:val="0"/>
                <w:sz w:val="24"/>
              </w:rPr>
              <w:t>—</w:t>
            </w:r>
          </w:p>
        </w:tc>
        <w:tc>
          <w:tcPr>
            <w:tcW w:w="77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_GB2312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cs="宋体"/>
                <w:color w:val="000000"/>
                <w:kern w:val="0"/>
                <w:sz w:val="24"/>
              </w:rPr>
              <w:t>[-2.1%]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  <w:jc w:val="center"/>
        </w:trPr>
        <w:tc>
          <w:tcPr>
            <w:tcW w:w="2180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_GB2312" w:hAnsi="宋体" w:cs="宋体"/>
                <w:color w:val="000000"/>
                <w:spacing w:val="-4"/>
                <w:kern w:val="0"/>
                <w:sz w:val="24"/>
              </w:rPr>
            </w:pPr>
            <w:r>
              <w:rPr>
                <w:rFonts w:hint="eastAsia" w:ascii="仿宋_GB2312" w:hAnsi="宋体" w:cs="宋体"/>
                <w:color w:val="000000"/>
                <w:spacing w:val="-4"/>
                <w:kern w:val="0"/>
                <w:sz w:val="24"/>
              </w:rPr>
              <w:t>营运货车单位运输周转量能耗下降率</w:t>
            </w:r>
          </w:p>
        </w:tc>
        <w:tc>
          <w:tcPr>
            <w:tcW w:w="95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_GB2312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cs="宋体"/>
                <w:color w:val="000000"/>
                <w:kern w:val="0"/>
                <w:sz w:val="24"/>
              </w:rPr>
              <w:t>　</w:t>
            </w:r>
          </w:p>
        </w:tc>
        <w:tc>
          <w:tcPr>
            <w:tcW w:w="56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_GB2312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cs="宋体"/>
                <w:color w:val="000000"/>
                <w:kern w:val="0"/>
                <w:sz w:val="24"/>
              </w:rPr>
              <w:t>—</w:t>
            </w:r>
          </w:p>
        </w:tc>
        <w:tc>
          <w:tcPr>
            <w:tcW w:w="52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_GB2312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cs="宋体"/>
                <w:color w:val="000000"/>
                <w:kern w:val="0"/>
                <w:sz w:val="24"/>
              </w:rPr>
              <w:t>—</w:t>
            </w:r>
          </w:p>
        </w:tc>
        <w:tc>
          <w:tcPr>
            <w:tcW w:w="77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_GB2312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cs="宋体"/>
                <w:color w:val="000000"/>
                <w:kern w:val="0"/>
                <w:sz w:val="24"/>
              </w:rPr>
              <w:t>[-6.8%]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  <w:jc w:val="center"/>
        </w:trPr>
        <w:tc>
          <w:tcPr>
            <w:tcW w:w="2180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_GB2312" w:hAnsi="宋体" w:cs="宋体"/>
                <w:color w:val="000000"/>
                <w:spacing w:val="-4"/>
                <w:kern w:val="0"/>
                <w:sz w:val="24"/>
              </w:rPr>
            </w:pPr>
            <w:r>
              <w:rPr>
                <w:rFonts w:hint="eastAsia" w:ascii="仿宋_GB2312" w:hAnsi="宋体" w:cs="宋体"/>
                <w:color w:val="000000"/>
                <w:spacing w:val="-4"/>
                <w:kern w:val="0"/>
                <w:sz w:val="24"/>
              </w:rPr>
              <w:t>城市客运单位运输周转量能耗下降率</w:t>
            </w:r>
          </w:p>
        </w:tc>
        <w:tc>
          <w:tcPr>
            <w:tcW w:w="95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_GB2312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cs="宋体"/>
                <w:color w:val="000000"/>
                <w:kern w:val="0"/>
                <w:sz w:val="24"/>
              </w:rPr>
              <w:t>　</w:t>
            </w:r>
          </w:p>
        </w:tc>
        <w:tc>
          <w:tcPr>
            <w:tcW w:w="56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_GB2312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cs="宋体"/>
                <w:color w:val="000000"/>
                <w:kern w:val="0"/>
                <w:sz w:val="24"/>
              </w:rPr>
              <w:t>—</w:t>
            </w:r>
          </w:p>
        </w:tc>
        <w:tc>
          <w:tcPr>
            <w:tcW w:w="52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_GB2312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cs="宋体"/>
                <w:color w:val="000000"/>
                <w:kern w:val="0"/>
                <w:sz w:val="24"/>
              </w:rPr>
              <w:t>—</w:t>
            </w:r>
          </w:p>
        </w:tc>
        <w:tc>
          <w:tcPr>
            <w:tcW w:w="77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_GB2312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cs="宋体"/>
                <w:color w:val="000000"/>
                <w:kern w:val="0"/>
                <w:sz w:val="24"/>
              </w:rPr>
              <w:t>[-10%]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  <w:jc w:val="center"/>
        </w:trPr>
        <w:tc>
          <w:tcPr>
            <w:tcW w:w="2180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_GB2312" w:hAnsi="宋体" w:cs="宋体"/>
                <w:color w:val="000000"/>
                <w:spacing w:val="-4"/>
                <w:kern w:val="0"/>
                <w:sz w:val="24"/>
              </w:rPr>
            </w:pPr>
            <w:r>
              <w:rPr>
                <w:rFonts w:hint="eastAsia" w:ascii="仿宋_GB2312" w:hAnsi="宋体" w:cs="宋体"/>
                <w:color w:val="000000"/>
                <w:spacing w:val="-4"/>
                <w:kern w:val="0"/>
                <w:sz w:val="24"/>
              </w:rPr>
              <w:t>营运船舶单位运输周转量能耗下降率</w:t>
            </w:r>
          </w:p>
        </w:tc>
        <w:tc>
          <w:tcPr>
            <w:tcW w:w="95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_GB2312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cs="宋体"/>
                <w:color w:val="000000"/>
                <w:kern w:val="0"/>
                <w:sz w:val="24"/>
              </w:rPr>
              <w:t>　</w:t>
            </w:r>
          </w:p>
        </w:tc>
        <w:tc>
          <w:tcPr>
            <w:tcW w:w="56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_GB2312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cs="宋体"/>
                <w:color w:val="000000"/>
                <w:kern w:val="0"/>
                <w:sz w:val="24"/>
              </w:rPr>
              <w:t>—</w:t>
            </w:r>
          </w:p>
        </w:tc>
        <w:tc>
          <w:tcPr>
            <w:tcW w:w="52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_GB2312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cs="宋体"/>
                <w:color w:val="000000"/>
                <w:kern w:val="0"/>
                <w:sz w:val="24"/>
              </w:rPr>
              <w:t>—</w:t>
            </w:r>
          </w:p>
        </w:tc>
        <w:tc>
          <w:tcPr>
            <w:tcW w:w="77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_GB2312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cs="宋体"/>
                <w:color w:val="000000"/>
                <w:kern w:val="0"/>
                <w:sz w:val="24"/>
              </w:rPr>
              <w:t>[-6%]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  <w:jc w:val="center"/>
        </w:trPr>
        <w:tc>
          <w:tcPr>
            <w:tcW w:w="5000" w:type="pct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jc w:val="left"/>
              <w:rPr>
                <w:rFonts w:hint="eastAsia" w:ascii="仿宋_GB2312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cs="宋体"/>
                <w:color w:val="000000"/>
                <w:kern w:val="0"/>
                <w:sz w:val="24"/>
              </w:rPr>
              <w:t>公共机构：（牵头部门：市机关事务管理局）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  <w:jc w:val="center"/>
        </w:trPr>
        <w:tc>
          <w:tcPr>
            <w:tcW w:w="2180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_GB2312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cs="宋体"/>
                <w:color w:val="000000"/>
                <w:kern w:val="0"/>
                <w:sz w:val="24"/>
              </w:rPr>
              <w:t>公共机构单位建筑面积能耗</w:t>
            </w:r>
          </w:p>
        </w:tc>
        <w:tc>
          <w:tcPr>
            <w:tcW w:w="95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_GB2312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cs="宋体"/>
                <w:color w:val="000000"/>
                <w:kern w:val="0"/>
                <w:sz w:val="24"/>
              </w:rPr>
              <w:t>千克标准煤/平方米</w:t>
            </w:r>
          </w:p>
        </w:tc>
        <w:tc>
          <w:tcPr>
            <w:tcW w:w="56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_GB2312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cs="宋体"/>
                <w:color w:val="000000"/>
                <w:kern w:val="0"/>
                <w:sz w:val="24"/>
              </w:rPr>
              <w:t>12.84</w:t>
            </w:r>
          </w:p>
        </w:tc>
        <w:tc>
          <w:tcPr>
            <w:tcW w:w="52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_GB2312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cs="宋体"/>
                <w:color w:val="000000"/>
                <w:kern w:val="0"/>
                <w:sz w:val="24"/>
              </w:rPr>
              <w:t>11.55</w:t>
            </w:r>
          </w:p>
        </w:tc>
        <w:tc>
          <w:tcPr>
            <w:tcW w:w="77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_GB2312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cs="宋体"/>
                <w:color w:val="000000"/>
                <w:kern w:val="0"/>
                <w:sz w:val="24"/>
              </w:rPr>
              <w:t>[-10%]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  <w:jc w:val="center"/>
        </w:trPr>
        <w:tc>
          <w:tcPr>
            <w:tcW w:w="2180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_GB2312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cs="宋体"/>
                <w:color w:val="000000"/>
                <w:kern w:val="0"/>
                <w:sz w:val="24"/>
              </w:rPr>
              <w:t>公共机构人均能耗</w:t>
            </w:r>
          </w:p>
        </w:tc>
        <w:tc>
          <w:tcPr>
            <w:tcW w:w="95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_GB2312" w:hAnsi="宋体" w:cs="宋体"/>
                <w:color w:val="000000"/>
                <w:spacing w:val="-8"/>
                <w:kern w:val="0"/>
                <w:sz w:val="24"/>
              </w:rPr>
            </w:pPr>
            <w:r>
              <w:rPr>
                <w:rFonts w:hint="eastAsia" w:ascii="仿宋_GB2312" w:hAnsi="宋体" w:cs="宋体"/>
                <w:color w:val="000000"/>
                <w:spacing w:val="-8"/>
                <w:kern w:val="0"/>
                <w:sz w:val="24"/>
              </w:rPr>
              <w:t>千克标准煤/人</w:t>
            </w:r>
          </w:p>
        </w:tc>
        <w:tc>
          <w:tcPr>
            <w:tcW w:w="56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_GB2312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cs="宋体"/>
                <w:color w:val="000000"/>
                <w:kern w:val="0"/>
                <w:sz w:val="24"/>
              </w:rPr>
              <w:t>270.52</w:t>
            </w:r>
          </w:p>
        </w:tc>
        <w:tc>
          <w:tcPr>
            <w:tcW w:w="52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_GB2312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cs="宋体"/>
                <w:color w:val="000000"/>
                <w:kern w:val="0"/>
                <w:sz w:val="24"/>
              </w:rPr>
              <w:t>240.76</w:t>
            </w:r>
          </w:p>
        </w:tc>
        <w:tc>
          <w:tcPr>
            <w:tcW w:w="77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_GB2312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cs="宋体"/>
                <w:color w:val="000000"/>
                <w:kern w:val="0"/>
                <w:sz w:val="24"/>
              </w:rPr>
              <w:t>[-11%]</w:t>
            </w:r>
          </w:p>
        </w:tc>
      </w:tr>
    </w:tbl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方正小标宋简体">
    <w:altName w:val="黑体"/>
    <w:panose1 w:val="02010601030101010101"/>
    <w:charset w:val="86"/>
    <w:family w:val="auto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3F50EDE"/>
    <w:rsid w:val="53F50E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2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Office_11.1.0.11045_F1E327BC-269C-435d-A152-05C5408002CA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2021-10-29T01:09:00Z</dcterms:created>
  <dc:creator>Administrator</dc:creator>
  <cp:lastModifiedBy>Administrator</cp:lastModifiedBy>
  <dcterms:modified xsi:type="dcterms:W3CDTF">2021-10-29T01:10:26Z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2052-11.1.0.11045</vt:lpwstr>
  </property>
  <property fmtid="{D5CDD505-2E9C-101B-9397-08002B2CF9AE}" pid="3" name="ICV">
    <vt:lpwstr>EB317520B5A6440A99545CE12B7EEE7B</vt:lpwstr>
  </property>
</Properties>
</file>