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textAlignment w:val="baseline"/>
        <w:rPr>
          <w:rStyle w:val="7"/>
          <w:rFonts w:ascii="黑体" w:hAnsi="黑体" w:eastAsia="黑体"/>
          <w:color w:val="000000"/>
          <w:kern w:val="2"/>
          <w:sz w:val="32"/>
          <w:szCs w:val="32"/>
        </w:rPr>
      </w:pPr>
      <w:bookmarkStart w:id="0" w:name="_GoBack"/>
      <w:bookmarkEnd w:id="0"/>
      <w:r>
        <w:rPr>
          <w:rStyle w:val="7"/>
          <w:rFonts w:ascii="黑体" w:hAnsi="黑体" w:eastAsia="黑体"/>
          <w:color w:val="000000"/>
          <w:kern w:val="2"/>
          <w:sz w:val="32"/>
          <w:szCs w:val="32"/>
        </w:rPr>
        <w:t>附件7</w:t>
      </w:r>
    </w:p>
    <w:p>
      <w:pPr>
        <w:spacing w:line="560" w:lineRule="exact"/>
        <w:ind w:firstLine="872" w:firstLineChars="200"/>
        <w:textAlignment w:val="baseline"/>
        <w:rPr>
          <w:rStyle w:val="7"/>
          <w:rFonts w:hint="eastAsia" w:ascii="方正小标宋简体" w:hAnsi="方正小标宋简体" w:eastAsia="方正小标宋简体" w:cs="方正小标宋简体"/>
          <w:bCs/>
          <w:color w:val="000000"/>
          <w:sz w:val="44"/>
        </w:rPr>
      </w:pPr>
    </w:p>
    <w:p>
      <w:pPr>
        <w:spacing w:line="560" w:lineRule="exact"/>
        <w:jc w:val="center"/>
        <w:textAlignment w:val="baseline"/>
        <w:rPr>
          <w:rStyle w:val="7"/>
          <w:rFonts w:ascii="方正小标宋简体" w:hAnsi="方正小标宋简体" w:eastAsia="方正小标宋简体" w:cs="方正小标宋简体"/>
          <w:bCs/>
          <w:color w:val="000000"/>
          <w:sz w:val="44"/>
        </w:rPr>
      </w:pPr>
      <w:r>
        <w:rPr>
          <w:rStyle w:val="7"/>
          <w:rFonts w:ascii="方正小标宋简体" w:hAnsi="方正小标宋简体" w:eastAsia="方正小标宋简体" w:cs="方正小标宋简体"/>
          <w:bCs/>
          <w:color w:val="000000"/>
          <w:sz w:val="44"/>
        </w:rPr>
        <w:t>关于加强市区经营性国有建设用地</w:t>
      </w:r>
    </w:p>
    <w:p>
      <w:pPr>
        <w:spacing w:line="560" w:lineRule="exact"/>
        <w:jc w:val="center"/>
        <w:textAlignment w:val="baseline"/>
        <w:rPr>
          <w:rStyle w:val="7"/>
          <w:rFonts w:ascii="方正小标宋简体" w:hAnsi="方正小标宋简体" w:eastAsia="方正小标宋简体" w:cs="方正小标宋简体"/>
          <w:bCs/>
          <w:color w:val="000000"/>
        </w:rPr>
      </w:pPr>
      <w:r>
        <w:rPr>
          <w:rStyle w:val="7"/>
          <w:rFonts w:ascii="方正小标宋简体" w:hAnsi="方正小标宋简体" w:eastAsia="方正小标宋简体" w:cs="方正小标宋简体"/>
          <w:bCs/>
          <w:color w:val="000000"/>
          <w:sz w:val="44"/>
        </w:rPr>
        <w:t>储备、出让及收支管理的意见</w:t>
      </w:r>
    </w:p>
    <w:p>
      <w:pPr>
        <w:pStyle w:val="9"/>
        <w:spacing w:before="0" w:line="560" w:lineRule="exact"/>
        <w:ind w:left="0" w:firstLine="572" w:firstLineChars="200"/>
        <w:rPr>
          <w:rStyle w:val="7"/>
          <w:rFonts w:ascii="楷体_GB2312"/>
          <w:color w:val="000000"/>
          <w:sz w:val="29"/>
        </w:rPr>
      </w:pP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为充分发挥市场配置土地资源的决定性作用和更好发挥政府作用，加快重点区片开发，提升城市功能和品质，加强提高土地利用质量和效益，促进高质量发展，依据有关法律法规规定，结合我市实际，提出如下意见。</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一、基本要求</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楷体_GB2312" w:eastAsia="楷体_GB2312"/>
          <w:color w:val="000000"/>
          <w:kern w:val="2"/>
          <w:sz w:val="32"/>
          <w:szCs w:val="32"/>
          <w:lang w:bidi="ar-SA"/>
        </w:rPr>
        <w:t>（一）适用范围。</w:t>
      </w:r>
      <w:r>
        <w:rPr>
          <w:rStyle w:val="7"/>
          <w:rFonts w:hint="eastAsia" w:ascii="仿宋_GB2312" w:eastAsia="仿宋_GB2312"/>
          <w:color w:val="000000"/>
          <w:kern w:val="2"/>
          <w:sz w:val="32"/>
          <w:szCs w:val="32"/>
          <w:lang w:bidi="ar-SA"/>
        </w:rPr>
        <w:t>市区内商业、旅游、娱乐和商品住宅等经营性国有建设用地（下简称经营性用地），以及营利性教育科研、医疗卫生、社会福利、文化体育等基础设施、社会事业项目用地，按照本意见执行。</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楷体_GB2312" w:eastAsia="楷体_GB2312"/>
          <w:color w:val="000000"/>
          <w:kern w:val="2"/>
          <w:sz w:val="32"/>
          <w:szCs w:val="32"/>
          <w:lang w:bidi="ar-SA"/>
        </w:rPr>
        <w:t>（二）工作目标。</w:t>
      </w:r>
      <w:r>
        <w:rPr>
          <w:rStyle w:val="7"/>
          <w:rFonts w:hint="eastAsia" w:ascii="仿宋_GB2312" w:eastAsia="仿宋_GB2312"/>
          <w:color w:val="000000"/>
          <w:kern w:val="2"/>
          <w:sz w:val="32"/>
          <w:szCs w:val="32"/>
          <w:lang w:bidi="ar-SA"/>
        </w:rPr>
        <w:t>加强经营性用地出让全流程管理，以提高土地利用质量和效益为目标，以土地出让合同和监管协议为平台，以收益分配为激励调控手段，通过健全经营性用地的用途管制、功能设置、业态布局、土地使用权退出等机制，将项目建设、功能实现、运营管理、节能环保等经济、社会、环境各要素纳入合同管理，实现土地利用管理系统化、精细化、动态化。</w:t>
      </w:r>
    </w:p>
    <w:p>
      <w:pPr>
        <w:pStyle w:val="9"/>
        <w:spacing w:before="0" w:line="560" w:lineRule="exact"/>
        <w:ind w:left="0" w:firstLine="632" w:firstLineChars="200"/>
        <w:rPr>
          <w:rStyle w:val="7"/>
          <w:rFonts w:hint="eastAsia" w:ascii="楷体_GB2312" w:eastAsia="楷体_GB2312"/>
          <w:color w:val="000000"/>
          <w:kern w:val="2"/>
          <w:sz w:val="32"/>
          <w:szCs w:val="32"/>
          <w:lang w:bidi="ar-SA"/>
        </w:rPr>
      </w:pPr>
      <w:r>
        <w:rPr>
          <w:rStyle w:val="7"/>
          <w:rFonts w:hint="eastAsia" w:ascii="楷体_GB2312" w:eastAsia="楷体_GB2312"/>
          <w:color w:val="000000"/>
          <w:kern w:val="2"/>
          <w:sz w:val="32"/>
          <w:szCs w:val="32"/>
          <w:lang w:bidi="ar-SA"/>
        </w:rPr>
        <w:t>（三）工作原则。</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坚持市场配置资源，公平、公正、公开出让土地；严格限定划拨用地范围，营利性教育科研、医疗卫生、社会福利、文化体育等基础设施、社会事业项目用地实行有偿使用制度。</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坚持经营性用地全要素管理，将经营性用地项目建设、功能业态、运营管理、节能环保等要素与其他出让条件纳入合同管理，注重经济效益向注重经济、社会、环境综合效益转变。</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坚持土地利用全过程管理，以土地出让合同和监管协议为平台，实现建设用地开竣工、运营管理、公益性责任和建设用地使用权退出的全过程管理。</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楷体_GB2312" w:eastAsia="楷体_GB2312"/>
          <w:color w:val="000000"/>
          <w:kern w:val="2"/>
          <w:sz w:val="32"/>
          <w:szCs w:val="32"/>
          <w:lang w:bidi="ar-SA"/>
        </w:rPr>
        <w:t>（四）管理职责。</w:t>
      </w:r>
      <w:r>
        <w:rPr>
          <w:rStyle w:val="7"/>
          <w:rFonts w:hint="eastAsia" w:ascii="仿宋_GB2312" w:eastAsia="仿宋_GB2312"/>
          <w:color w:val="000000"/>
          <w:kern w:val="2"/>
          <w:sz w:val="32"/>
          <w:szCs w:val="32"/>
          <w:lang w:bidi="ar-SA"/>
        </w:rPr>
        <w:t>市自然资源和规划部门是土地出让工作的主管部门，负责经营性用地出让管理，是经营性用地的出让人。市财政部门是土地出让收支管理的主管部门。市土地储备和利用中心是市区土地储备、出让工作的责任主体。</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经营性用地出让前，出让人应征询相关职能部门的意见，综合汇总征询意见的基础上，在出让文件中明确出让地块的各类建设管理要求。</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各级自然资源和规划、发展改革、公安、民政、生态环境、住房城乡建设、城管、交通运输、水利、商务、文化和旅游、卫生健康、人防、国家安全、电力等相关职能部门要按照“公平、公正、公开”的原则，提出经营性用地各项建设要求、管理要素、监管考核和违约处置等要求，列入土地出让条件，纳入土地出让合同和监管协议，并按照“谁提出、谁负责、谁监管”的原则，对受让人的合同、协议履约情况进行要素评定，依法实施监管。</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二、土地储备和出让</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按照土地储备、出让工作市级统筹的原则，实行统一规划、统一储备、统一管理、统一出让，原则上芝罘区、莱山区城市开发边界内的经营性用地储备、出让工作由市级统筹，市土地储备和利用中心作为责任主体直接负责；福山区、牟平区、烟台开发区、高新区、蓬莱区、长岛综合试验区等的经营性用地储备、出让工作由各区自行负责。</w:t>
      </w:r>
    </w:p>
    <w:p>
      <w:pPr>
        <w:pStyle w:val="9"/>
        <w:spacing w:before="0" w:line="560" w:lineRule="exact"/>
        <w:ind w:left="0" w:firstLine="632" w:firstLineChars="200"/>
        <w:rPr>
          <w:rStyle w:val="7"/>
          <w:rFonts w:hint="eastAsia" w:ascii="楷体_GB2312" w:eastAsia="楷体_GB2312"/>
          <w:color w:val="000000"/>
          <w:kern w:val="2"/>
          <w:sz w:val="32"/>
          <w:szCs w:val="32"/>
          <w:lang w:bidi="ar-SA"/>
        </w:rPr>
      </w:pPr>
      <w:r>
        <w:rPr>
          <w:rStyle w:val="7"/>
          <w:rFonts w:hint="eastAsia" w:ascii="楷体_GB2312" w:eastAsia="楷体_GB2312"/>
          <w:color w:val="000000"/>
          <w:kern w:val="2"/>
          <w:sz w:val="32"/>
          <w:szCs w:val="32"/>
          <w:lang w:bidi="ar-SA"/>
        </w:rPr>
        <w:t>（一）实施土地统一储备。</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1.市自然资源和规划部门负责根据城市建设发展和土地市场调控的需要，依据国民经济和社会发展规划、国土空间规划、年度土地出让计划等，系统编制土地储备三年计划，合理制定年度土地储备计划。</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2.纳入年度土地储备计划的土地按项目实施管理。土地储备项目由责任主体确定土地一级开发整理实施主体，报经市房地产开发管理工作领导小组批准后，直接委托区政府（管委）或市属国资公司作为实施主体组织实施。</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3.储备资金全部纳入预算管理，从国有土地收益基金、土地出让收入、新增政府债券和其他财政资金中统筹安排，市级项目由市土地储备和利用中心根据项目进度申请。属于市属国资公司实施的市级储备项目，市财政部门拨付一定比例的启动资金，征收整理费用由实施主体委托中介机构审核，市土地储备和利用中心会同有关部门评审，土地整理等相关费用在宗地出让后由市级财政按规定拨付。</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4.市土地储备和利用中心编制芝罘区、莱山区土地储备项目处置意见。处置意见主要包括规划范围及指标，资金测算、配套建设用地代征范围、配套建设内容及标准，可行性分析、完成时限等内容。土地储备项目处置意见经市房地产开发管理工作领导小组研究批准。批准后的处置意见作为考核依据，列入考核，由实施主体严格落实，若未按确定的时限完成征收工作，核减区级土地收益分配，并由区级承担相应财务成本。</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5.土地储备项目实施主体应当组织开展对储备土地必要的前期开发整理，为政府供应土地提供必要保障。对重点行业企业关闭搬迁地块，以及用途变更为住宅、公共管理与公共服务用地地块，由土地储备项目实施主体依法依规完成土壤污染状况调查，之前已完成的不再开展。在土地储备前期开发阶段可适当由实施主体配套建设教育、医疗卫生等设施，具体由相关部门制定专项意见。</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6.入库管理。市区土地储备项目、一级开发整理项目等完成征收的土地，统一纳入市级土地储备库。芝罘区、莱山区项目在完成征收后，由实施主体提出入库申请，市土地储备和利用中心组织市财政、住房呈现建设部门和辖区政府到现场联合勘验，验收合格后方可入库；其余各区项目由区级政府（管委）以公函形式，附勘测定界图和净地证明，由市土地储备和利用中心纳入土地储备库。</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7.入库管护。纳入市级土地储备库的土地，芝罘区、莱山区土地由市土地储备和利用中心负责管护，管护方式由市土地储备和利用中心通过政府购买服务（招标）方式确定管护单位，或委托辖区街道办事处管护，管护费用列入土地成本。其余各区入库土地由辖区政府（管委）负责管护。</w:t>
      </w:r>
    </w:p>
    <w:p>
      <w:pPr>
        <w:pStyle w:val="9"/>
        <w:spacing w:before="0" w:line="560" w:lineRule="exact"/>
        <w:ind w:left="0" w:firstLine="632" w:firstLineChars="200"/>
        <w:rPr>
          <w:rStyle w:val="7"/>
          <w:rFonts w:hint="eastAsia" w:ascii="楷体_GB2312" w:eastAsia="楷体_GB2312" w:cstheme="minorBidi"/>
          <w:color w:val="000000"/>
          <w:kern w:val="2"/>
          <w:sz w:val="32"/>
          <w:szCs w:val="32"/>
          <w:lang w:val="zh-CN" w:eastAsia="zh-CN" w:bidi="ar-SA"/>
        </w:rPr>
      </w:pPr>
      <w:r>
        <w:rPr>
          <w:rStyle w:val="7"/>
          <w:rFonts w:hint="eastAsia" w:ascii="楷体_GB2312" w:eastAsia="楷体_GB2312" w:cstheme="minorBidi"/>
          <w:color w:val="000000"/>
          <w:kern w:val="2"/>
          <w:sz w:val="32"/>
          <w:szCs w:val="32"/>
          <w:lang w:val="zh-CN" w:eastAsia="zh-CN" w:bidi="ar-SA"/>
        </w:rPr>
        <w:t>（二）实施储备土地统一出让。</w:t>
      </w:r>
    </w:p>
    <w:p>
      <w:pPr>
        <w:pStyle w:val="9"/>
        <w:spacing w:before="0" w:line="560" w:lineRule="exact"/>
        <w:ind w:left="0" w:firstLine="632" w:firstLineChars="200"/>
        <w:rPr>
          <w:rStyle w:val="7"/>
          <w:rFonts w:hint="eastAsia" w:ascii="仿宋_GB2312" w:eastAsia="仿宋_GB2312"/>
          <w:color w:val="000000"/>
          <w:kern w:val="2"/>
          <w:sz w:val="32"/>
          <w:szCs w:val="32"/>
          <w:lang w:bidi="ar-SA"/>
        </w:rPr>
      </w:pPr>
      <w:r>
        <w:rPr>
          <w:rStyle w:val="7"/>
          <w:rFonts w:hint="eastAsia" w:ascii="仿宋_GB2312" w:eastAsia="仿宋_GB2312"/>
          <w:color w:val="000000"/>
          <w:kern w:val="2"/>
          <w:sz w:val="32"/>
          <w:szCs w:val="32"/>
          <w:lang w:bidi="ar-SA"/>
        </w:rPr>
        <w:t>1.未纳入市级储备库的经营性用地不得进入土地一级市场供应。市土地储备和利用中心负责统一对储备土地进行入库和出库管理。</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2.市自然资源和规划部门负责编制三年规划，按照总量控制、结构科学、布局合理、时序有效原则,统筹编制年度土地出让计划,经批准后,及时向社会公开发布。</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3.市土地储备和利用中心、各区政府（管委）编制出让处置意见，经市房地产开发管理工作领导小组审议后，报市政府批准，由市自然资源和规划部门组织实施出让。</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lang w:bidi="zh-CN"/>
        </w:rPr>
      </w:pPr>
      <w:r>
        <w:rPr>
          <w:rStyle w:val="7"/>
          <w:rFonts w:hint="eastAsia" w:eastAsia="楷体_GB2312"/>
          <w:color w:val="000000"/>
          <w:sz w:val="32"/>
          <w:szCs w:val="32"/>
        </w:rPr>
        <w:t>（三）</w:t>
      </w:r>
      <w:r>
        <w:rPr>
          <w:rStyle w:val="7"/>
          <w:rFonts w:hint="eastAsia" w:ascii="楷体_GB2312" w:eastAsia="楷体_GB2312"/>
          <w:color w:val="000000"/>
          <w:sz w:val="32"/>
          <w:szCs w:val="32"/>
        </w:rPr>
        <w:t>开展土地出让分析。</w:t>
      </w:r>
      <w:r>
        <w:rPr>
          <w:rStyle w:val="7"/>
          <w:rFonts w:hint="eastAsia" w:ascii="仿宋_GB2312" w:eastAsia="仿宋_GB2312"/>
          <w:color w:val="000000"/>
          <w:sz w:val="32"/>
          <w:szCs w:val="32"/>
          <w:lang w:bidi="zh-CN"/>
        </w:rPr>
        <w:t>市自然资源和规划部门应对市土地储备和利用中心、各区政府（管委）提报的拟入市出让地块进行分析。从地块符合本市国土空间总体规划（土地利用总体规划和城乡总体规划）情况、控制性详细规划批准情况、土地储备计划批准情况、涉及土地农转用征收手续办理情况、地块前期动拆迁实施情况等方面，分析土地出让合规性和合理性。</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三、土地出让要求</w:t>
      </w:r>
    </w:p>
    <w:p>
      <w:pPr>
        <w:pStyle w:val="11"/>
        <w:tabs>
          <w:tab w:val="left" w:pos="1083"/>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（一）规划管理要求。</w:t>
      </w:r>
      <w:r>
        <w:rPr>
          <w:rStyle w:val="7"/>
          <w:rFonts w:hint="eastAsia" w:eastAsia="仿宋_GB2312"/>
          <w:color w:val="000000"/>
          <w:sz w:val="32"/>
          <w:szCs w:val="32"/>
        </w:rPr>
        <w:t>自然资源和规划部门应根据控制性详细规划及其他相关规划要求，结合征询的有关部门意见，确定拟出让地块的规划性质、规划指标及配套设施等规划条件。通过规划，进一步完善公共服务设施、公共空间等公共服务功能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位于城市重要特定地区（如城市公共活动中心、历史文化街区、传统风貌区、历史文化名镇名村保护范围内等）的项目，应在控制性详细规划的基础上，开展城市设计，纳入规划条件。</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土地出让前市土地储备和利用中心会同市财政部门进行验收，核销土地证房产证核销是否有历史遗留问题，是否达到净地出让条件。</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楷体_GB2312" w:eastAsia="楷体_GB2312"/>
          <w:color w:val="000000"/>
          <w:kern w:val="2"/>
          <w:sz w:val="32"/>
          <w:szCs w:val="32"/>
          <w:lang w:bidi="ar-SA"/>
        </w:rPr>
        <w:t>（二）建设管理要求。</w:t>
      </w:r>
      <w:r>
        <w:rPr>
          <w:rStyle w:val="7"/>
          <w:rFonts w:hint="eastAsia" w:ascii="仿宋_GB2312" w:eastAsia="仿宋_GB2312" w:cstheme="minorBidi"/>
          <w:color w:val="000000"/>
          <w:kern w:val="2"/>
          <w:sz w:val="32"/>
          <w:szCs w:val="32"/>
          <w:lang w:bidi="ar-SA"/>
        </w:rPr>
        <w:t>拟出让土地上的建设项目，应符合以下建设管理要求：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1.加强项目开竣工时间管理要求。自然资源和规划部门应结合建设项目的建筑体量、规划建筑设计、管理要素等条件，合理约定开工、竣工时间，并可按照土地出让价款的一定比例，约定延期开工、竣工的违约金金额。</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自然资源和规划部门应及时提示、督促受让人按照合同约定的开工、竣工时间进行开发建设。对逾期未开工满一年的项目，应及时开展闲置土地调查和认定，合理界定土地闲置形成原因，依据原国土资源部发布的《闲置土地处置办法》的相关规定进行处理。</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2.落实建筑绿色环保节能管理要求。住房城乡建设部门应按照规定，对绿色建筑、装配式建筑和废弃混凝土资源化利用等配置提出建设要求（房地产项目建设条件意见书）。</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3.配建租赁住房管理要求。住房城乡建设部门应对商品住宅用地中配建的租赁住房的建设要求提出意见，并明确租赁住房的同步建设、同步配套、同步交付、建成后移交等要求。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4.公共服务功能要求。民政、卫生健康、商务、城管等部门和市委组织部应对商品住宅用地中配建社区综合服务用房、党群活动中心、社区养老、社区卫生、农贸市场、社区食堂、环卫设施等建设要求提出意见，并明确建设、配套、交付、产权归属、移交等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5.保护保留建筑要求。文化和旅游、自然资源和规划、住房城乡建设等部门应对地块内保护保留对象、保护更新方式、功能调整、日常保护修缮维护等提出要求。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6.照明要求。城管部门应对商业用地的照明要求提出意见。</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7.绿化管理要求。城管部门应对地块内绿化面积、绿地率等提出相关要求。对于多层建筑物业，绿化部门可对屋顶绿化提出相关要求。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8.国家安全管理要求。国家安全部门对位于安全控制区域内的地块提出涉及国家安全事项的有关要求。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9.地下文物保护要求。土地出让前要按照考古前置规定完成考古调查、勘探发掘工作。文化和旅游部门应根据考古工作情况提出对出让地块的文物保护具体要求。</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（三）功能管理要求。</w:t>
      </w:r>
      <w:r>
        <w:rPr>
          <w:rStyle w:val="7"/>
          <w:rFonts w:hint="eastAsia" w:eastAsia="仿宋_GB2312"/>
          <w:color w:val="000000"/>
          <w:sz w:val="32"/>
          <w:szCs w:val="32"/>
          <w:lang w:bidi="zh-CN"/>
        </w:rPr>
        <w:t>商业用地由发展改革、商务部门结合区域功能、社会需求、土地用途等情况，提出休闲娱乐、大众零售、酒店旅馆等商业功能业态。出让合同中未经约定，商业用地不得建设公寓式酒店，商业办公用地不得建设公寓式办公。</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营利性教育科研、医疗卫生、社会福利、文化体育等基础设施、社会事业项目用地，应结合土地用途和项目情况，由相关主管部门对项目应达到的功能提出要求。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楷体_GB2312" w:eastAsia="楷体_GB2312"/>
          <w:color w:val="000000"/>
          <w:kern w:val="2"/>
          <w:sz w:val="32"/>
          <w:szCs w:val="32"/>
          <w:lang w:bidi="ar-SA"/>
        </w:rPr>
        <w:t>（四）运营管理要求。</w:t>
      </w:r>
      <w:r>
        <w:rPr>
          <w:rStyle w:val="7"/>
          <w:rFonts w:hint="eastAsia" w:ascii="仿宋_GB2312" w:eastAsia="仿宋_GB2312" w:cstheme="minorBidi"/>
          <w:color w:val="000000"/>
          <w:kern w:val="2"/>
          <w:sz w:val="32"/>
          <w:szCs w:val="32"/>
          <w:lang w:bidi="ar-SA"/>
        </w:rPr>
        <w:t>拟出让土地上的建设项目，应符合以下运营管理要求：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1.商业运营要求。发展改革、投资、商务等部门可对商业用地提出统一招商、统一运营、商业业态布局等要求，文化和旅游管理部门可对酒店功能的用地提出星级要求和管理标准。</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2.商业自持面积和销售要求。为进一步提升城市功能品质，抑制房地产投机炒作，确保市场平稳健康运行，在商业用地出让前，发展改革、投资、商务等部门应综合区域配套、房地产市场、项目功能定位等因素，对拟出让地块进行综合评估，明确商业建筑面积持有比例和持有年限。根据土地出让合同约定受让人商业自持面积，应当在约定时间内整体持有，不得分割转让；确需出让的，需经市房地产开发管理工作领导小组会议研究批准，且按届时评估楼面地价补交土地出让金。</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（五）建筑节能和环境保护要求。</w:t>
      </w:r>
      <w:r>
        <w:rPr>
          <w:rStyle w:val="7"/>
          <w:rFonts w:hint="eastAsia" w:eastAsia="仿宋_GB2312"/>
          <w:color w:val="000000"/>
          <w:sz w:val="32"/>
          <w:szCs w:val="32"/>
        </w:rPr>
        <w:t>拟出让土地上的建设项目，应符合以下建筑节能和环境保护要求：</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1.建筑节能管理要求。为降低建筑能耗，提高建筑能源利用效率，住房和城乡建设主管部门应对出让地块内建筑提出绿色建筑标准的要求。</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2.土壤环境（含地下水）保护要求。经营性用地出让前，相关单位应按照环保标准和规范要求完成土壤环境（含地下水）调查评估，确存在污染并需要治理修复的，应组织实施修复并达到环保要求。</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经营性用地出让后，土壤污染责任人负有实施土壤污染风险管控和修复的义务。土壤污染责任人无法认定的，土地使用权人应当实施土壤污染风险管控和修复。</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经检测符合环境要求的土壤耕作层，土地出让后鼓励由受让人按照要求运送到耕地保护主管部门指定的相关耕地整理复垦项目区域利用；地下空间利用产生的渣土，由受让人按照要求运输到渣土管理部门指定区域处置利用。</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四、实施土地出让</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（一）土地出让方式。</w:t>
      </w:r>
      <w:r>
        <w:rPr>
          <w:rStyle w:val="7"/>
          <w:rFonts w:hint="eastAsia" w:eastAsia="仿宋_GB2312"/>
          <w:color w:val="000000"/>
          <w:sz w:val="32"/>
          <w:szCs w:val="32"/>
        </w:rPr>
        <w:t>商业、旅游、娱乐和商品住宅等经营性用地应采取公开招拍挂方式出让；对功能实现、运营管理、建设条件等方面有特别要求的出让地块，可通过拟供应计划公示、预申请、招商信息发布等形式，提前公开入市信息。商品住宅用地原则上不搭配其他用途土地出让；确需搭配供应的，按照一事一议的原则报请市房地产开发管理工作领导小组会议批准。</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位于城市重要特定地区、具有重要功能性的商业、旅游、娱乐等经营性用地，可采用附带规划设计方案、基础设施要求、功能建设要求、运营管理要求的方式实施出让。</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营利性教育科研、医疗卫生、社会福利、文化体育等基础设施、社会事业项目用地，可采取协议出让方式出让。出让计划公布后，同一宗地有两个或两个以上意向用地者的，应采取公开招拍挂方式出让。</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（二）土地出让价格。</w:t>
      </w:r>
      <w:r>
        <w:rPr>
          <w:rStyle w:val="7"/>
          <w:rFonts w:hint="eastAsia" w:eastAsia="仿宋_GB2312"/>
          <w:color w:val="000000"/>
          <w:sz w:val="32"/>
          <w:szCs w:val="32"/>
        </w:rPr>
        <w:t>芝罘区、莱山区拟出让地块，由市土地储备和利用中心按规定程序委托中介机构评估，经市自然资源和规划、财政部门和评审专家联合评审后，拟定处置意见，上报市房地产开发管理工作领导小组确定拟出让地块出让起始价。其余各区由区政府（管委）自行按规定程序确定拟出让地块出让起始价，报市房地产开发管理工作领导小组批准。</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协议出让价格不得低于拟出让地块所在区域同类用地基准地价的70</w:t>
      </w:r>
      <w:r>
        <w:rPr>
          <w:rStyle w:val="7"/>
          <w:rFonts w:hint="eastAsia" w:ascii="仿宋_GB2312" w:eastAsia="仿宋_GB2312" w:cstheme="minorBidi"/>
          <w:color w:val="000000"/>
          <w:kern w:val="2"/>
          <w:sz w:val="32"/>
          <w:szCs w:val="32"/>
          <w:lang w:bidi="ar-SA"/>
        </w:rPr>
        <w:drawing>
          <wp:inline distT="0" distB="0" distL="114300" distR="114300">
            <wp:extent cx="84455" cy="154940"/>
            <wp:effectExtent l="0" t="0" r="10795" b="165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84455" cy="154940"/>
                    </a:xfrm>
                    <a:prstGeom prst="rect">
                      <a:avLst/>
                    </a:prstGeom>
                    <a:noFill/>
                    <a:ln>
                      <a:noFill/>
                    </a:ln>
                  </pic:spPr>
                </pic:pic>
              </a:graphicData>
            </a:graphic>
          </wp:inline>
        </w:drawing>
      </w:r>
      <w:r>
        <w:rPr>
          <w:rStyle w:val="7"/>
          <w:rFonts w:hint="eastAsia" w:ascii="仿宋_GB2312" w:eastAsia="仿宋_GB2312" w:cstheme="minorBidi"/>
          <w:color w:val="000000"/>
          <w:kern w:val="2"/>
          <w:sz w:val="32"/>
          <w:szCs w:val="32"/>
          <w:lang w:bidi="ar-SA"/>
        </w:rPr>
        <w:t>。</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（三）土地出让年限。</w:t>
      </w:r>
      <w:r>
        <w:rPr>
          <w:rStyle w:val="7"/>
          <w:rFonts w:hint="eastAsia" w:eastAsia="仿宋_GB2312"/>
          <w:color w:val="000000"/>
          <w:sz w:val="32"/>
          <w:szCs w:val="32"/>
        </w:rPr>
        <w:t>商业、旅游、娱乐和商品住宅等经营性用地出让年限不得高于法定最高出让年限。营利性教育科研、医疗卫生、社会福利、文化体育等基础设施、社会事业项目用地，可根据项目实际情况，实行弹性出让年限，出让年限不得高于法定最高出让年限。</w:t>
      </w:r>
    </w:p>
    <w:p>
      <w:pPr>
        <w:pStyle w:val="11"/>
        <w:tabs>
          <w:tab w:val="left" w:pos="1241"/>
        </w:tabs>
        <w:spacing w:before="0" w:line="560" w:lineRule="exact"/>
        <w:ind w:left="0" w:firstLine="632" w:firstLineChars="200"/>
        <w:rPr>
          <w:rStyle w:val="7"/>
          <w:rFonts w:hint="eastAsia" w:ascii="楷体_GB2312" w:eastAsia="楷体_GB2312"/>
          <w:color w:val="000000"/>
          <w:sz w:val="32"/>
          <w:szCs w:val="32"/>
        </w:rPr>
      </w:pPr>
      <w:r>
        <w:rPr>
          <w:rStyle w:val="7"/>
          <w:rFonts w:hint="eastAsia" w:ascii="楷体_GB2312" w:eastAsia="楷体_GB2312"/>
          <w:color w:val="000000"/>
          <w:sz w:val="32"/>
          <w:szCs w:val="32"/>
        </w:rPr>
        <w:t>（四）土地出让合同和监管协议。</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1.土地出让后，须对应出让条件要求，分别签订土地出让合同和若干监管协议。土地出让合同由自然资源和规划部门与受让人签订，约定出让土地的规划管理、出让金缴纳、开竣工时限等要求；列入出让条件的其他管理要求，分别由提出该要求的部门与受让人签订监管协议，作为土地出让合同的监管协议。土地出让公告前，各部门须提供加盖公章的监管协议，土地成交后由出让人组织集中签订土地出让合同和监管协议。</w:t>
      </w:r>
    </w:p>
    <w:p>
      <w:pPr>
        <w:pStyle w:val="11"/>
        <w:tabs>
          <w:tab w:val="left" w:pos="1580"/>
        </w:tabs>
        <w:spacing w:before="0" w:line="560" w:lineRule="exact"/>
        <w:ind w:left="0" w:firstLine="632" w:firstLineChars="200"/>
        <w:rPr>
          <w:rStyle w:val="7"/>
          <w:rFonts w:hint="eastAsia" w:eastAsia="仿宋_GB2312"/>
          <w:color w:val="000000"/>
          <w:sz w:val="32"/>
          <w:szCs w:val="32"/>
        </w:rPr>
      </w:pPr>
      <w:r>
        <w:rPr>
          <w:rStyle w:val="7"/>
          <w:rFonts w:hint="eastAsia" w:ascii="仿宋_GB2312" w:eastAsia="仿宋_GB2312"/>
          <w:color w:val="000000"/>
          <w:sz w:val="32"/>
          <w:szCs w:val="32"/>
        </w:rPr>
        <w:t>2.受让</w:t>
      </w:r>
      <w:r>
        <w:rPr>
          <w:rStyle w:val="7"/>
          <w:rFonts w:hint="eastAsia" w:eastAsia="仿宋_GB2312"/>
          <w:color w:val="000000"/>
          <w:sz w:val="32"/>
          <w:szCs w:val="32"/>
        </w:rPr>
        <w:t>人须按照土地出让合同和监管协议的全部要求使用土地。</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（五）土地出让收入上缴市级财政。</w:t>
      </w:r>
      <w:r>
        <w:rPr>
          <w:rStyle w:val="7"/>
          <w:rFonts w:hint="eastAsia" w:eastAsia="仿宋_GB2312"/>
          <w:color w:val="000000"/>
          <w:sz w:val="32"/>
          <w:szCs w:val="32"/>
        </w:rPr>
        <w:t>按照有关政策规定，各区实现的土地出让收入全额上缴市级财政。</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五、土地出让收益分配和预决算管理</w:t>
      </w:r>
    </w:p>
    <w:p>
      <w:pPr>
        <w:pStyle w:val="11"/>
        <w:tabs>
          <w:tab w:val="left" w:pos="1580"/>
        </w:tabs>
        <w:spacing w:before="0" w:line="560" w:lineRule="exact"/>
        <w:ind w:left="0" w:firstLine="632" w:firstLineChars="200"/>
        <w:rPr>
          <w:rStyle w:val="7"/>
          <w:rFonts w:hint="eastAsia" w:ascii="仿宋_GB2312" w:eastAsia="仿宋_GB2312" w:cs="仿宋_GB2312"/>
          <w:color w:val="000000"/>
          <w:sz w:val="32"/>
          <w:szCs w:val="32"/>
        </w:rPr>
      </w:pPr>
      <w:r>
        <w:rPr>
          <w:rStyle w:val="7"/>
          <w:rFonts w:hint="eastAsia" w:ascii="仿宋_GB2312" w:eastAsia="仿宋_GB2312" w:cs="仿宋_GB2312"/>
          <w:color w:val="000000"/>
          <w:sz w:val="32"/>
          <w:szCs w:val="32"/>
        </w:rPr>
        <w:t>1.芝罘区、莱山区范围内的经营性用地实现的土地出让收入，扣除政策性计提、重大基础设施建设专项资金、用于乡村振兴支持农业农村的土地收入以及储备成本后的出让纯收益，市、区两级按8:2比例分成（经市政府批准的优惠政策除外，原区级奖励政策不再执行）。芝罘区、莱山区实现的土地出让收入上缴市级财政并清算后，原则上一个月内返还收益分成，区级政府所得分成收益主要用于辖内基础设施建设。</w:t>
      </w:r>
    </w:p>
    <w:p>
      <w:pPr>
        <w:pStyle w:val="11"/>
        <w:tabs>
          <w:tab w:val="left" w:pos="1580"/>
        </w:tabs>
        <w:spacing w:before="0" w:line="560" w:lineRule="exact"/>
        <w:ind w:left="0" w:firstLine="632" w:firstLineChars="200"/>
        <w:rPr>
          <w:rStyle w:val="7"/>
          <w:rFonts w:hint="eastAsia" w:eastAsia="仿宋_GB2312" w:cs="仿宋_GB2312"/>
          <w:color w:val="000000"/>
          <w:sz w:val="32"/>
          <w:szCs w:val="32"/>
        </w:rPr>
      </w:pPr>
      <w:r>
        <w:rPr>
          <w:rStyle w:val="7"/>
          <w:rFonts w:hint="eastAsia" w:ascii="仿宋_GB2312" w:eastAsia="仿宋_GB2312" w:cs="仿宋_GB2312"/>
          <w:color w:val="000000"/>
          <w:sz w:val="32"/>
          <w:szCs w:val="32"/>
        </w:rPr>
        <w:t>2.福山区、牟平区范围内的经营性用地实现的土地出让收入，扣除10%的市级统筹、重大基础设施建设专项资金、用于乡村振兴支持农业农村的土地收入后返还；蓬莱区、烟台开发区、高新区及长岛综合试验区范围内的经营性用地实现的土地出让收入，在政策期、过渡期内扣除重大基础设施建设专项资</w:t>
      </w:r>
      <w:r>
        <w:rPr>
          <w:rStyle w:val="7"/>
          <w:rFonts w:hint="eastAsia" w:eastAsia="仿宋_GB2312" w:cs="仿宋_GB2312"/>
          <w:color w:val="000000"/>
          <w:sz w:val="32"/>
          <w:szCs w:val="32"/>
        </w:rPr>
        <w:t>金后返还，政策期、过渡期结束后参照福山区、牟平区政策执行。以上返还资金在土地清算后原则上一个月内拨付到位。</w:t>
      </w:r>
    </w:p>
    <w:p>
      <w:pPr>
        <w:pStyle w:val="11"/>
        <w:tabs>
          <w:tab w:val="left" w:pos="1580"/>
        </w:tabs>
        <w:spacing w:before="0" w:line="560" w:lineRule="exact"/>
        <w:ind w:left="0" w:firstLine="632" w:firstLineChars="200"/>
        <w:rPr>
          <w:rStyle w:val="7"/>
          <w:rFonts w:hint="eastAsia" w:ascii="仿宋_GB2312" w:eastAsia="仿宋_GB2312" w:cs="仿宋_GB2312"/>
          <w:color w:val="000000"/>
          <w:sz w:val="32"/>
          <w:szCs w:val="32"/>
        </w:rPr>
      </w:pPr>
      <w:r>
        <w:rPr>
          <w:rStyle w:val="7"/>
          <w:rFonts w:hint="eastAsia" w:ascii="仿宋_GB2312" w:eastAsia="仿宋_GB2312" w:cs="仿宋_GB2312"/>
          <w:color w:val="000000"/>
          <w:sz w:val="32"/>
          <w:szCs w:val="32"/>
        </w:rPr>
        <w:t>3.从市区经营性用地的土地出让收入中统筹10%重大基础设施建设专项资金，重点用于轨道交通等重大基础设施建设（芝罘区、莱山区已经市房地产开发管理工作领导小组会议研究通过的旧村改造项目，仍按原旧改政策执行）。</w:t>
      </w:r>
    </w:p>
    <w:p>
      <w:pPr>
        <w:pStyle w:val="11"/>
        <w:tabs>
          <w:tab w:val="left" w:pos="1580"/>
        </w:tabs>
        <w:spacing w:before="0" w:line="560" w:lineRule="exact"/>
        <w:ind w:left="0" w:firstLine="632" w:firstLineChars="200"/>
        <w:rPr>
          <w:rStyle w:val="7"/>
          <w:rFonts w:hint="eastAsia" w:ascii="仿宋_GB2312" w:eastAsia="仿宋_GB2312" w:cs="仿宋_GB2312"/>
          <w:color w:val="000000"/>
          <w:sz w:val="32"/>
          <w:szCs w:val="32"/>
        </w:rPr>
      </w:pPr>
      <w:r>
        <w:rPr>
          <w:rStyle w:val="7"/>
          <w:rFonts w:hint="eastAsia" w:ascii="仿宋_GB2312" w:eastAsia="仿宋_GB2312" w:cs="仿宋_GB2312"/>
          <w:color w:val="000000"/>
          <w:sz w:val="32"/>
          <w:szCs w:val="32"/>
        </w:rPr>
        <w:t>4.按照国家、省、市关于调整完善土地出让收入使用范围优先支持乡村振兴的意见，稳步提高市区经营性用地的土地出让收入（含旧村改造项目）用于乡村振兴支持农业农村的比例，2021年为6%，以后每年增加一个百分点，2025年达到10%。</w:t>
      </w:r>
    </w:p>
    <w:p>
      <w:pPr>
        <w:pStyle w:val="11"/>
        <w:tabs>
          <w:tab w:val="left" w:pos="1580"/>
        </w:tabs>
        <w:spacing w:before="0" w:line="560" w:lineRule="exact"/>
        <w:ind w:left="0" w:firstLine="632" w:firstLineChars="200"/>
        <w:rPr>
          <w:rStyle w:val="7"/>
          <w:rFonts w:hint="eastAsia" w:ascii="仿宋_GB2312" w:eastAsia="仿宋_GB2312" w:cs="仿宋_GB2312"/>
          <w:color w:val="000000"/>
          <w:sz w:val="32"/>
          <w:szCs w:val="32"/>
        </w:rPr>
      </w:pPr>
      <w:r>
        <w:rPr>
          <w:rStyle w:val="7"/>
          <w:rFonts w:hint="eastAsia" w:ascii="仿宋_GB2312" w:eastAsia="仿宋_GB2312" w:cs="仿宋_GB2312"/>
          <w:color w:val="000000"/>
          <w:sz w:val="32"/>
          <w:szCs w:val="32"/>
        </w:rPr>
        <w:t>5.对现行的土地出让收益优惠政策进行全面清理，已到期的政策不再执行，继续实施的政策明确时限。今后新出台的有关土地方面的优惠政策实行一事一议，经市自然资源和规划、财政等部门研究审核后，报市政府常务会议研究确定。</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s="仿宋_GB2312"/>
          <w:color w:val="000000"/>
          <w:sz w:val="32"/>
          <w:szCs w:val="32"/>
        </w:rPr>
        <w:t>6.市土地储备和利用中心每年第三季度根据下一年度市区土地储备计划和项目资金需求、年度资金需求等内容，编制下一年度市区土地储备资金收支项目预算草案，经市自然资源和规划部门审核后，报市财政部门审定，按程序报</w:t>
      </w:r>
      <w:r>
        <w:rPr>
          <w:rStyle w:val="7"/>
          <w:rFonts w:hint="eastAsia" w:cs="仿宋_GB2312"/>
          <w:color w:val="000000"/>
          <w:sz w:val="32"/>
          <w:szCs w:val="32"/>
          <w:lang w:eastAsia="zh-CN"/>
        </w:rPr>
        <w:t>市人民代表大会</w:t>
      </w:r>
      <w:r>
        <w:rPr>
          <w:rStyle w:val="7"/>
          <w:rFonts w:hint="eastAsia" w:ascii="仿宋_GB2312" w:eastAsia="仿宋_GB2312" w:cs="仿宋_GB2312"/>
          <w:color w:val="000000"/>
          <w:sz w:val="32"/>
          <w:szCs w:val="32"/>
        </w:rPr>
        <w:t>会审议批准后执行。年终，市土地储备和利用中心要向市财政部门报送土地储备资金收支项目决算。土地储备资金预决算管理及绩效管理严格按照《财政部 国土资源部关于印发&lt;土地储备资金财务管理办法&gt;的通知》（财综〔2018〕8号）的有关规定执行。</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六、加强规划建筑方案管理</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（一）宗地出让后规划建设方案报审。</w:t>
      </w:r>
      <w:r>
        <w:rPr>
          <w:rStyle w:val="7"/>
          <w:rFonts w:hint="eastAsia" w:eastAsia="仿宋_GB2312"/>
          <w:color w:val="000000"/>
          <w:sz w:val="32"/>
          <w:szCs w:val="32"/>
        </w:rPr>
        <w:t>宗地出让后，受让人报审规划建设方案，自然资源和规划、住建、行政审批、人防等部门应严格按照经批准的控制性详细规划、规划设计方案、建筑要求、建（构）筑物保护保留要求、建设标准、基础设施及建筑物使用性质和土地出让合同规定的土地用途、建筑规模、规划建设条件等进行管理。</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（二）带方案出让的规划建设方案报审。</w:t>
      </w:r>
      <w:r>
        <w:rPr>
          <w:rStyle w:val="7"/>
          <w:rFonts w:hint="eastAsia" w:eastAsia="仿宋_GB2312"/>
          <w:color w:val="000000"/>
          <w:sz w:val="32"/>
          <w:szCs w:val="32"/>
        </w:rPr>
        <w:t>带方案出让的宗地，受让人须严格按照出让文件约定的规划建设方案报审，行政审批、自然资源和规划、住建部门应严格按照已批准的规划设计建设方案进行管理。</w:t>
      </w:r>
    </w:p>
    <w:p>
      <w:pPr>
        <w:pStyle w:val="9"/>
        <w:spacing w:before="0" w:line="560" w:lineRule="exact"/>
        <w:ind w:left="0" w:firstLine="632" w:firstLineChars="200"/>
        <w:rPr>
          <w:rStyle w:val="7"/>
          <w:rFonts w:hint="eastAsia" w:ascii="黑体" w:eastAsia="黑体"/>
          <w:color w:val="000000"/>
          <w:kern w:val="2"/>
          <w:sz w:val="32"/>
          <w:szCs w:val="32"/>
          <w:lang w:bidi="ar-SA"/>
        </w:rPr>
      </w:pPr>
      <w:r>
        <w:rPr>
          <w:rStyle w:val="7"/>
          <w:rFonts w:hint="eastAsia" w:ascii="黑体" w:eastAsia="黑体"/>
          <w:color w:val="000000"/>
          <w:kern w:val="2"/>
          <w:sz w:val="32"/>
          <w:szCs w:val="32"/>
          <w:lang w:bidi="ar-SA"/>
        </w:rPr>
        <w:t>七、加强土地供后监管</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（一）共同监管。</w:t>
      </w:r>
      <w:r>
        <w:rPr>
          <w:rStyle w:val="7"/>
          <w:rFonts w:hint="eastAsia" w:eastAsia="仿宋_GB2312"/>
          <w:color w:val="000000"/>
          <w:sz w:val="32"/>
          <w:szCs w:val="32"/>
        </w:rPr>
        <w:t>经营性用地各项建设要求、管理要素纳入土地出让合同和监管协议，按照“谁提出、谁负责、谁监管”的原则，由相关部门及时对受让人的合同履约情况进行各项管理要素评定，依法实施监管。</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（二）综合验收。</w:t>
      </w:r>
      <w:r>
        <w:rPr>
          <w:rStyle w:val="7"/>
          <w:rFonts w:hint="eastAsia" w:eastAsia="仿宋_GB2312"/>
          <w:color w:val="000000"/>
          <w:sz w:val="32"/>
          <w:szCs w:val="32"/>
        </w:rPr>
        <w:t>建设项目竣工后，在土地核验环节中，由出让人依据出让合同和监管协议约定的建设管理、功能管理、运营管理、建筑节能和环境保护等要求，组织征询相关部门的验收评定意见，经汇总后作为土地核验依据。</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（三）转让管理。</w:t>
      </w:r>
      <w:r>
        <w:rPr>
          <w:rStyle w:val="7"/>
          <w:rFonts w:hint="eastAsia" w:eastAsia="仿宋_GB2312"/>
          <w:color w:val="000000"/>
          <w:sz w:val="32"/>
          <w:szCs w:val="32"/>
        </w:rPr>
        <w:t>土地受让人应按照土地出让合同和监管协议的约定进行开发建设，依法进行预销售、转让等行为，建设用地使用权转让后，受让人应履行原出让合同和监管协议中约定的权利和义务。转让时应符合以下条件：</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1.属于房屋建设工程转让的，应付清土地出让价款并领取土地使用权证书，取得建设工程规划许可证、建设工程施工许可证，并完成房屋建设开发投资总额的25</w:t>
      </w:r>
      <w:r>
        <w:rPr>
          <w:rStyle w:val="7"/>
          <w:rFonts w:hint="eastAsia" w:ascii="仿宋_GB2312" w:eastAsia="仿宋_GB2312"/>
          <w:color w:val="000000"/>
          <w:sz w:val="32"/>
          <w:szCs w:val="32"/>
        </w:rPr>
        <w:drawing>
          <wp:inline distT="0" distB="0" distL="114300" distR="114300">
            <wp:extent cx="84455" cy="154940"/>
            <wp:effectExtent l="0" t="0" r="10795"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84455" cy="154940"/>
                    </a:xfrm>
                    <a:prstGeom prst="rect">
                      <a:avLst/>
                    </a:prstGeom>
                    <a:noFill/>
                    <a:ln>
                      <a:noFill/>
                    </a:ln>
                  </pic:spPr>
                </pic:pic>
              </a:graphicData>
            </a:graphic>
          </wp:inline>
        </w:drawing>
      </w:r>
      <w:r>
        <w:rPr>
          <w:rStyle w:val="7"/>
          <w:rFonts w:hint="eastAsia" w:ascii="仿宋_GB2312" w:eastAsia="仿宋_GB2312"/>
          <w:color w:val="000000"/>
          <w:sz w:val="32"/>
          <w:szCs w:val="32"/>
        </w:rPr>
        <w:t>以上。</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2.未达到房屋建设工程转让条件的，土地使用权及地上建筑物等不得整体或分割转让。</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3.商业、商品住宅等经营性物业在满足预售或销售条件后，受让人在提交预售或销售许可申请时，除应提交相关规定材料外，还应提交自持物业的具体位置、面积等相关材料，由主管部门核准同意。</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4.受让人在完成开发建设并领取不动产权证后，土地出让合同中约定持有的物业，在持有年限内不得转让。</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对营利性教育科研、医疗卫生、社会福利、文化体育等基础设施、社会事业项目用地，应由受让人整体持有，不得分割转让。</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对商业、商品住宅等经营性物业，应按照出让合同或监管协议约定持有相应面积的房地产，不得整体、分割转让。对因破产、重组、撤销等特殊情形确需转让约定持有房地产的，须经出让人或者相关管理部门同意。</w:t>
      </w:r>
    </w:p>
    <w:p>
      <w:pPr>
        <w:pStyle w:val="11"/>
        <w:tabs>
          <w:tab w:val="left" w:pos="1580"/>
        </w:tabs>
        <w:spacing w:before="0" w:line="560" w:lineRule="exact"/>
        <w:ind w:left="0" w:firstLine="632" w:firstLineChars="200"/>
        <w:rPr>
          <w:rStyle w:val="7"/>
          <w:rFonts w:hint="eastAsia" w:eastAsia="仿宋_GB2312"/>
          <w:color w:val="000000"/>
          <w:sz w:val="32"/>
          <w:szCs w:val="32"/>
        </w:rPr>
      </w:pPr>
      <w:r>
        <w:rPr>
          <w:rStyle w:val="7"/>
          <w:rFonts w:hint="eastAsia" w:ascii="仿宋_GB2312" w:eastAsia="仿宋_GB2312"/>
          <w:color w:val="000000"/>
          <w:sz w:val="32"/>
          <w:szCs w:val="32"/>
        </w:rPr>
        <w:t>5.对</w:t>
      </w:r>
      <w:r>
        <w:rPr>
          <w:rStyle w:val="7"/>
          <w:rFonts w:hint="eastAsia" w:ascii="仿宋_GB2312" w:eastAsia="仿宋_GB2312"/>
          <w:color w:val="000000"/>
          <w:spacing w:val="-4"/>
          <w:sz w:val="32"/>
          <w:szCs w:val="32"/>
        </w:rPr>
        <w:t>于规划为酒店用途的建筑物，在确定不动产基本单元时，应当保证关联房屋用途功能</w:t>
      </w:r>
      <w:r>
        <w:rPr>
          <w:rStyle w:val="7"/>
          <w:rFonts w:hint="eastAsia" w:eastAsia="仿宋_GB2312"/>
          <w:color w:val="000000"/>
          <w:spacing w:val="-4"/>
          <w:sz w:val="32"/>
          <w:szCs w:val="32"/>
        </w:rPr>
        <w:t>的完整性，不得将其分割转让、抵押。</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（四）违约责任。</w:t>
      </w:r>
      <w:r>
        <w:rPr>
          <w:rStyle w:val="7"/>
          <w:rFonts w:hint="eastAsia" w:eastAsia="仿宋_GB2312"/>
          <w:color w:val="000000"/>
          <w:sz w:val="32"/>
          <w:szCs w:val="32"/>
        </w:rPr>
        <w:t>受让人在履行出让合同和监管协议中存在违反相关法律、法规规定行为的，有关职能部门应依法予以处罚或处理。受让人在接受处罚或按处理要求完成整改后，出让人可视情况履行出让合同或变更、解除出让合同。受让人未按照合同约定开发建设，出现以下情形之一的，出让人有权解除合同，并按照合同的约定，收回土地使用权。对地上建筑物的补偿，可事先约定采取残值补偿、无偿收回、由受让人恢复原状等方式处置，并在土地出让合同中予以约定：</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1.受让人因自身原因未按照合同约定时间开发建设，造成土地闲置，土地闲置满两年未动工开发的。</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2.擅自改变土地用途和建设条件，违法情节严重、拒不整改、拒不接受处罚的。</w:t>
      </w:r>
    </w:p>
    <w:p>
      <w:pPr>
        <w:pStyle w:val="11"/>
        <w:tabs>
          <w:tab w:val="left" w:pos="1580"/>
        </w:tabs>
        <w:spacing w:before="0" w:line="560" w:lineRule="exact"/>
        <w:ind w:left="0" w:firstLine="632" w:firstLineChars="200"/>
        <w:rPr>
          <w:rStyle w:val="7"/>
          <w:rFonts w:hint="eastAsia" w:ascii="仿宋_GB2312" w:eastAsia="仿宋_GB2312"/>
          <w:color w:val="000000"/>
          <w:sz w:val="32"/>
          <w:szCs w:val="32"/>
        </w:rPr>
      </w:pPr>
      <w:r>
        <w:rPr>
          <w:rStyle w:val="7"/>
          <w:rFonts w:hint="eastAsia" w:ascii="仿宋_GB2312" w:eastAsia="仿宋_GB2312"/>
          <w:color w:val="000000"/>
          <w:sz w:val="32"/>
          <w:szCs w:val="32"/>
        </w:rPr>
        <w:t>3.违反相关法律法规规定或未能达到出让合同和监管协议约定的建设、功能、运营、节能环保要求，拒不改正、拒不接受处罚的。</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（五）登记管理。</w:t>
      </w:r>
      <w:r>
        <w:rPr>
          <w:rStyle w:val="7"/>
          <w:rFonts w:hint="eastAsia" w:eastAsia="仿宋_GB2312"/>
          <w:color w:val="000000"/>
          <w:sz w:val="32"/>
          <w:szCs w:val="32"/>
        </w:rPr>
        <w:t>受让人应按照《不动产登记暂行条例》及本市有关规定，申请办理房屋使用权初始登记，登记机构不得为土地出让合同约定的自持物业单独办理登记。</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权利人在土地出让合同和监管协议约定的物业持有期间内，签订不动产转让合同和办理转移登记，或变更不动产权证附记栏中注记的上述约定内容，需提供出让人或者相关管理部门审核同意的意见。</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（六）抵押管理。</w:t>
      </w:r>
      <w:r>
        <w:rPr>
          <w:rStyle w:val="7"/>
          <w:rFonts w:hint="eastAsia" w:eastAsia="仿宋_GB2312"/>
          <w:color w:val="000000"/>
          <w:sz w:val="32"/>
          <w:szCs w:val="32"/>
        </w:rPr>
        <w:t>以国有建设用地使用权及项目在建工程抵押时所担保的主债权，仅限于项目后续开发建设资金。国有建设用地使用权不得分割抵押。已开发建设的项目，不再单独办理国有土地使用权抵押登记。</w:t>
      </w:r>
    </w:p>
    <w:p>
      <w:pPr>
        <w:pStyle w:val="9"/>
        <w:spacing w:before="0" w:line="560" w:lineRule="exact"/>
        <w:ind w:left="0" w:firstLine="632" w:firstLineChars="200"/>
        <w:rPr>
          <w:rStyle w:val="7"/>
          <w:rFonts w:hint="eastAsia" w:ascii="仿宋_GB2312" w:eastAsia="仿宋_GB2312" w:cstheme="minorBidi"/>
          <w:color w:val="000000"/>
          <w:kern w:val="2"/>
          <w:sz w:val="32"/>
          <w:szCs w:val="32"/>
          <w:lang w:bidi="ar-SA"/>
        </w:rPr>
      </w:pPr>
      <w:r>
        <w:rPr>
          <w:rStyle w:val="7"/>
          <w:rFonts w:hint="eastAsia" w:ascii="仿宋_GB2312" w:eastAsia="仿宋_GB2312" w:cstheme="minorBidi"/>
          <w:color w:val="000000"/>
          <w:kern w:val="2"/>
          <w:sz w:val="32"/>
          <w:szCs w:val="32"/>
          <w:lang w:bidi="ar-SA"/>
        </w:rPr>
        <w:t>按照土地出让合同约定的受让人自持部分，应整体抵押，不得分割抵押。抵押权实现时，承接人应执行原出让合同中约定的权利和义务。</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（七）工作机制。</w:t>
      </w:r>
      <w:r>
        <w:rPr>
          <w:rStyle w:val="7"/>
          <w:rFonts w:hint="eastAsia" w:eastAsia="仿宋_GB2312"/>
          <w:color w:val="000000"/>
          <w:sz w:val="32"/>
          <w:szCs w:val="32"/>
        </w:rPr>
        <w:t>以市工程建设项目审批管理系统为平台，通过多部门信息共享、协同管理，建立动态实时监督管理机制，实现全程一体化管理。</w:t>
      </w:r>
    </w:p>
    <w:p>
      <w:pPr>
        <w:spacing w:line="560" w:lineRule="exact"/>
        <w:ind w:firstLine="632" w:firstLineChars="200"/>
        <w:textAlignment w:val="baseline"/>
        <w:rPr>
          <w:rStyle w:val="7"/>
          <w:rFonts w:hint="eastAsia" w:ascii="仿宋_GB2312" w:eastAsia="仿宋_GB2312" w:cstheme="minorBidi"/>
          <w:color w:val="000000"/>
          <w:kern w:val="2"/>
          <w:sz w:val="32"/>
          <w:szCs w:val="32"/>
          <w:lang w:val="zh-CN" w:eastAsia="zh-CN" w:bidi="ar-SA"/>
        </w:rPr>
      </w:pPr>
      <w:r>
        <w:rPr>
          <w:rStyle w:val="7"/>
          <w:rFonts w:hint="eastAsia" w:ascii="仿宋_GB2312" w:eastAsia="仿宋_GB2312" w:cstheme="minorBidi"/>
          <w:color w:val="000000"/>
          <w:kern w:val="2"/>
          <w:sz w:val="32"/>
          <w:szCs w:val="32"/>
          <w:lang w:val="zh-CN" w:eastAsia="zh-CN" w:bidi="ar-SA"/>
        </w:rPr>
        <w:t>各管理部门按照职责，落实土地全流程管理要求，对出让合同和监管协议约定的相关管理要素开展日常监管，并及时更新监管结果信息。自然资源和规划部门负责土地出让管理工作的协调和督办，按照土地合同约定的要素管理期，限期向各归口管理的职能部门发送监管清单，汇总监管结果。</w:t>
      </w:r>
    </w:p>
    <w:p>
      <w:pPr>
        <w:pStyle w:val="11"/>
        <w:tabs>
          <w:tab w:val="left" w:pos="1241"/>
        </w:tabs>
        <w:spacing w:before="0" w:line="560" w:lineRule="exact"/>
        <w:ind w:left="0" w:firstLine="632" w:firstLineChars="200"/>
        <w:rPr>
          <w:rStyle w:val="7"/>
          <w:rFonts w:hint="eastAsia" w:eastAsia="仿宋_GB2312"/>
          <w:color w:val="000000"/>
          <w:sz w:val="32"/>
          <w:szCs w:val="32"/>
        </w:rPr>
      </w:pPr>
      <w:r>
        <w:rPr>
          <w:rStyle w:val="7"/>
          <w:rFonts w:hint="eastAsia" w:ascii="楷体_GB2312" w:eastAsia="楷体_GB2312"/>
          <w:color w:val="000000"/>
          <w:sz w:val="32"/>
          <w:szCs w:val="32"/>
        </w:rPr>
        <w:t>（八）信用监管。</w:t>
      </w:r>
      <w:r>
        <w:rPr>
          <w:rStyle w:val="7"/>
          <w:rFonts w:hint="eastAsia" w:eastAsia="仿宋_GB2312"/>
          <w:color w:val="000000"/>
          <w:sz w:val="32"/>
          <w:szCs w:val="32"/>
        </w:rPr>
        <w:t>建立企业信用档案，由各相关部门在项目审批、核准、备案以及融资抵押等方面加强企业信用监管，限制或禁止诚信异常企业参与土地交易。</w:t>
      </w:r>
    </w:p>
    <w:p>
      <w:pPr>
        <w:spacing w:line="560" w:lineRule="exact"/>
        <w:ind w:firstLine="632" w:firstLineChars="200"/>
        <w:rPr>
          <w:rStyle w:val="7"/>
          <w:rFonts w:hint="eastAsia" w:ascii="仿宋_GB2312" w:eastAsia="仿宋_GB2312" w:cstheme="minorBidi"/>
          <w:color w:val="000000"/>
          <w:kern w:val="2"/>
          <w:sz w:val="32"/>
          <w:szCs w:val="32"/>
          <w:lang w:val="zh-CN" w:eastAsia="zh-CN" w:bidi="ar-SA"/>
        </w:rPr>
      </w:pPr>
      <w:r>
        <w:rPr>
          <w:rStyle w:val="7"/>
          <w:rFonts w:hint="eastAsia" w:ascii="仿宋_GB2312" w:eastAsia="仿宋_GB2312" w:cstheme="minorBidi"/>
          <w:color w:val="000000"/>
          <w:kern w:val="2"/>
          <w:sz w:val="32"/>
          <w:szCs w:val="32"/>
          <w:lang w:val="zh-CN" w:eastAsia="zh-CN" w:bidi="ar-S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2037715</wp:posOffset>
                </wp:positionV>
                <wp:extent cx="561594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0.45pt;height:0pt;width:442.2pt;z-index:251659264;mso-width-relative:page;mso-height-relative:page;" filled="f" stroked="t" coordsize="21600,21600" o:gfxdata="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VYKhzWAAAACAEAAA8AAAAAAAAAAQAgAAAAIgAAAGRycy9kb3ducmV2LnhtbFBLAQIU&#10;ABQAAAAIAIdO4kBeYJqm9QEAAOUDAAAOAAAAAAAAAAEAIAAAACUBAABkcnMvZTJvRG9jLnhtbFBL&#10;BQYAAAAABgAGAFkBAACMBQAAAAA=&#10;">
                <v:fill on="f" focussize="0,0"/>
                <v:stroke weight="1pt" color="#000000" joinstyle="round"/>
                <v:imagedata o:title=""/>
                <o:lock v:ext="edit" aspectratio="f"/>
              </v:line>
            </w:pict>
          </mc:Fallback>
        </mc:AlternateContent>
      </w:r>
      <w:r>
        <w:rPr>
          <w:rStyle w:val="7"/>
          <w:rFonts w:hint="eastAsia" w:ascii="仿宋_GB2312" w:eastAsia="仿宋_GB2312" w:cstheme="minorBidi"/>
          <w:color w:val="000000"/>
          <w:kern w:val="2"/>
          <w:sz w:val="32"/>
          <w:szCs w:val="32"/>
          <w:lang w:val="zh-CN" w:eastAsia="zh-CN" w:bidi="ar-SA"/>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1616075</wp:posOffset>
                </wp:positionV>
                <wp:extent cx="5618480" cy="367030"/>
                <wp:effectExtent l="0" t="0" r="0" b="0"/>
                <wp:wrapNone/>
                <wp:docPr id="5" name="矩形 5"/>
                <wp:cNvGraphicFramePr/>
                <a:graphic xmlns:a="http://schemas.openxmlformats.org/drawingml/2006/main">
                  <a:graphicData uri="http://schemas.microsoft.com/office/word/2010/wordprocessingShape">
                    <wps:wsp>
                      <wps:cNvSpPr/>
                      <wps:spPr>
                        <a:xfrm>
                          <a:off x="0" y="0"/>
                          <a:ext cx="5618480" cy="367030"/>
                        </a:xfrm>
                        <a:prstGeom prst="rect">
                          <a:avLst/>
                        </a:prstGeom>
                        <a:noFill/>
                        <a:ln>
                          <a:noFill/>
                        </a:ln>
                      </wps:spPr>
                      <wps:txbx>
                        <w:txbxContent>
                          <w:p>
                            <w:pPr>
                              <w:spacing w:line="500" w:lineRule="exact"/>
                              <w:ind w:left="160" w:leftChars="50" w:right="160" w:rightChars="50"/>
                              <w:rPr>
                                <w:rFonts w:hint="eastAsia"/>
                                <w:sz w:val="28"/>
                                <w:szCs w:val="28"/>
                              </w:rPr>
                            </w:pPr>
                            <w:r>
                              <w:rPr>
                                <w:rFonts w:hint="eastAsia"/>
                                <w:sz w:val="28"/>
                                <w:szCs w:val="28"/>
                              </w:rPr>
                              <w:t>烟台市人民政府办公室                     2021年9月</w:t>
                            </w:r>
                            <w:r>
                              <w:rPr>
                                <w:rFonts w:hint="eastAsia"/>
                                <w:sz w:val="28"/>
                                <w:szCs w:val="28"/>
                                <w:lang w:val="en-US" w:eastAsia="zh-CN"/>
                              </w:rPr>
                              <w:t>30</w:t>
                            </w:r>
                            <w:r>
                              <w:rPr>
                                <w:rFonts w:hint="eastAsia"/>
                                <w:sz w:val="28"/>
                                <w:szCs w:val="28"/>
                              </w:rPr>
                              <w:t>日印发</w:t>
                            </w:r>
                          </w:p>
                        </w:txbxContent>
                      </wps:txbx>
                      <wps:bodyPr upright="1"/>
                    </wps:wsp>
                  </a:graphicData>
                </a:graphic>
              </wp:anchor>
            </w:drawing>
          </mc:Choice>
          <mc:Fallback>
            <w:pict>
              <v:rect id="_x0000_s1026" o:spid="_x0000_s1026" o:spt="1" style="position:absolute;left:0pt;margin-left:-1.5pt;margin-top:127.25pt;height:28.9pt;width:442.4pt;z-index:251660288;mso-width-relative:page;mso-height-relative:page;" filled="f" stroked="f" coordsize="21600,21600" o:gfxdata="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CWMcVj2wAAAAoBAAAP&#10;AAAAAAAAAAEAIAAAACIAAABkcnMvZG93bnJldi54bWxQSwECFAAUAAAACACHTuJAGcg9DqMBAABB&#10;AwAADgAAAAAAAAABACAAAAAqAQAAZHJzL2Uyb0RvYy54bWxQSwUGAAAAAAYABgBZAQAAPwUAAAAA&#10;">
                <v:fill on="f" focussize="0,0"/>
                <v:stroke on="f"/>
                <v:imagedata o:title=""/>
                <o:lock v:ext="edit" aspectratio="f"/>
                <v:textbox>
                  <w:txbxContent>
                    <w:p>
                      <w:pPr>
                        <w:spacing w:line="500" w:lineRule="exact"/>
                        <w:ind w:left="160" w:leftChars="50" w:right="160" w:rightChars="50"/>
                        <w:rPr>
                          <w:rFonts w:hint="eastAsia"/>
                          <w:sz w:val="28"/>
                          <w:szCs w:val="28"/>
                        </w:rPr>
                      </w:pPr>
                      <w:r>
                        <w:rPr>
                          <w:rFonts w:hint="eastAsia"/>
                          <w:sz w:val="28"/>
                          <w:szCs w:val="28"/>
                        </w:rPr>
                        <w:t>烟台市人民政府办公室                     2021年9月</w:t>
                      </w:r>
                      <w:r>
                        <w:rPr>
                          <w:rFonts w:hint="eastAsia"/>
                          <w:sz w:val="28"/>
                          <w:szCs w:val="28"/>
                          <w:lang w:val="en-US" w:eastAsia="zh-CN"/>
                        </w:rPr>
                        <w:t>30</w:t>
                      </w:r>
                      <w:r>
                        <w:rPr>
                          <w:rFonts w:hint="eastAsia"/>
                          <w:sz w:val="28"/>
                          <w:szCs w:val="28"/>
                        </w:rPr>
                        <w:t>日印发</w:t>
                      </w:r>
                    </w:p>
                  </w:txbxContent>
                </v:textbox>
              </v:rect>
            </w:pict>
          </mc:Fallback>
        </mc:AlternateContent>
      </w:r>
      <w:r>
        <w:rPr>
          <w:rStyle w:val="7"/>
          <w:rFonts w:hint="eastAsia" w:ascii="仿宋_GB2312" w:eastAsia="仿宋_GB2312" w:cstheme="minorBidi"/>
          <w:color w:val="000000"/>
          <w:kern w:val="2"/>
          <w:sz w:val="32"/>
          <w:szCs w:val="32"/>
          <w:lang w:val="zh-CN" w:eastAsia="zh-CN" w:bidi="ar-SA"/>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919480</wp:posOffset>
                </wp:positionV>
                <wp:extent cx="5618480" cy="731520"/>
                <wp:effectExtent l="0" t="0" r="0" b="0"/>
                <wp:wrapNone/>
                <wp:docPr id="6" name="矩形 6"/>
                <wp:cNvGraphicFramePr/>
                <a:graphic xmlns:a="http://schemas.openxmlformats.org/drawingml/2006/main">
                  <a:graphicData uri="http://schemas.microsoft.com/office/word/2010/wordprocessingShape">
                    <wps:wsp>
                      <wps:cNvSpPr/>
                      <wps:spPr>
                        <a:xfrm>
                          <a:off x="0" y="0"/>
                          <a:ext cx="5618480" cy="731520"/>
                        </a:xfrm>
                        <a:prstGeom prst="rect">
                          <a:avLst/>
                        </a:prstGeom>
                        <a:noFill/>
                        <a:ln>
                          <a:noFill/>
                        </a:ln>
                      </wps:spPr>
                      <wps:txbx>
                        <w:txbxContent>
                          <w:p>
                            <w:pPr>
                              <w:pStyle w:val="3"/>
                              <w:spacing w:line="500" w:lineRule="exact"/>
                              <w:ind w:left="999" w:leftChars="50" w:right="160" w:rightChars="50" w:hanging="839"/>
                              <w:rPr>
                                <w:rFonts w:hint="eastAsia"/>
                                <w:sz w:val="28"/>
                                <w:szCs w:val="28"/>
                              </w:rPr>
                            </w:pPr>
                            <w:r>
                              <w:rPr>
                                <w:rFonts w:hint="eastAsia"/>
                                <w:sz w:val="28"/>
                                <w:szCs w:val="28"/>
                              </w:rPr>
                              <w:t>抄送：市委有关部门，市人大常委会办公室，市政协办公室，市法院，</w:t>
                            </w:r>
                          </w:p>
                          <w:p>
                            <w:pPr>
                              <w:spacing w:line="500" w:lineRule="exact"/>
                              <w:ind w:left="160" w:leftChars="50" w:right="160" w:rightChars="50" w:firstLine="803" w:firstLineChars="287"/>
                              <w:rPr>
                                <w:rFonts w:hint="eastAsia"/>
                                <w:sz w:val="28"/>
                                <w:szCs w:val="28"/>
                              </w:rPr>
                            </w:pPr>
                            <w:r>
                              <w:rPr>
                                <w:rFonts w:hint="eastAsia"/>
                                <w:sz w:val="28"/>
                                <w:szCs w:val="28"/>
                              </w:rPr>
                              <w:t>市检察院，有关人民团体，中央、省属驻烟有关单位。</w:t>
                            </w:r>
                          </w:p>
                        </w:txbxContent>
                      </wps:txbx>
                      <wps:bodyPr upright="1"/>
                    </wps:wsp>
                  </a:graphicData>
                </a:graphic>
              </wp:anchor>
            </w:drawing>
          </mc:Choice>
          <mc:Fallback>
            <w:pict>
              <v:rect id="_x0000_s1026" o:spid="_x0000_s1026" o:spt="1" style="position:absolute;left:0pt;margin-left:-1.1pt;margin-top:72.4pt;height:57.6pt;width:442.4pt;z-index:251661312;mso-width-relative:page;mso-height-relative:page;" filled="f" stroked="f" coordsize="21600,21600" o:gfxdata="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F3FUxnaAAAACgEAAA8A&#10;AAAAAAAAAQAgAAAAIgAAAGRycy9kb3ducmV2LnhtbFBLAQIUABQAAAAIAIdO4kC2QF1VowEAAEED&#10;AAAOAAAAAAAAAAEAIAAAACkBAABkcnMvZTJvRG9jLnhtbFBLBQYAAAAABgAGAFkBAAA+BQAAAAA=&#10;">
                <v:fill on="f" focussize="0,0"/>
                <v:stroke on="f"/>
                <v:imagedata o:title=""/>
                <o:lock v:ext="edit" aspectratio="f"/>
                <v:textbox>
                  <w:txbxContent>
                    <w:p>
                      <w:pPr>
                        <w:pStyle w:val="3"/>
                        <w:spacing w:line="500" w:lineRule="exact"/>
                        <w:ind w:left="999" w:leftChars="50" w:right="160" w:rightChars="50" w:hanging="839"/>
                        <w:rPr>
                          <w:rFonts w:hint="eastAsia"/>
                          <w:sz w:val="28"/>
                          <w:szCs w:val="28"/>
                        </w:rPr>
                      </w:pPr>
                      <w:r>
                        <w:rPr>
                          <w:rFonts w:hint="eastAsia"/>
                          <w:sz w:val="28"/>
                          <w:szCs w:val="28"/>
                        </w:rPr>
                        <w:t>抄送：市委有关部门，市人大常委会办公室，市政协办公室，市法院，</w:t>
                      </w:r>
                    </w:p>
                    <w:p>
                      <w:pPr>
                        <w:spacing w:line="500" w:lineRule="exact"/>
                        <w:ind w:left="160" w:leftChars="50" w:right="160" w:rightChars="50" w:firstLine="803" w:firstLineChars="287"/>
                        <w:rPr>
                          <w:rFonts w:hint="eastAsia"/>
                          <w:sz w:val="28"/>
                          <w:szCs w:val="28"/>
                        </w:rPr>
                      </w:pPr>
                      <w:r>
                        <w:rPr>
                          <w:rFonts w:hint="eastAsia"/>
                          <w:sz w:val="28"/>
                          <w:szCs w:val="28"/>
                        </w:rPr>
                        <w:t>市检察院，有关人民团体，中央、省属驻烟有关单位。</w:t>
                      </w:r>
                    </w:p>
                  </w:txbxContent>
                </v:textbox>
              </v:rect>
            </w:pict>
          </mc:Fallback>
        </mc:AlternateContent>
      </w:r>
      <w:r>
        <w:rPr>
          <w:rStyle w:val="7"/>
          <w:rFonts w:hint="eastAsia" w:ascii="仿宋_GB2312" w:eastAsia="仿宋_GB2312" w:cstheme="minorBidi"/>
          <w:color w:val="000000"/>
          <w:kern w:val="2"/>
          <w:sz w:val="32"/>
          <w:szCs w:val="32"/>
          <w:lang w:val="zh-CN" w:eastAsia="zh-CN" w:bidi="ar-SA"/>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949325</wp:posOffset>
                </wp:positionV>
                <wp:extent cx="5615940"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74.75pt;height:0pt;width:442.2pt;z-index:251663360;mso-width-relative:page;mso-height-relative:page;" filled="f" stroked="t" coordsize="21600,21600" o:gfxdata="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2Ika3WAAAACAEAAA8AAAAAAAAAAQAgAAAAIgAAAGRycy9kb3ducmV2LnhtbFBLAQIU&#10;ABQAAAAIAIdO4kD1rf0Z9QEAAOUDAAAOAAAAAAAAAAEAIAAAACUBAABkcnMvZTJvRG9jLnhtbFBL&#10;BQYAAAAABgAGAFkBAACMBQAAAAA=&#10;">
                <v:fill on="f" focussize="0,0"/>
                <v:stroke weight="1pt" color="#000000" joinstyle="round"/>
                <v:imagedata o:title=""/>
                <o:lock v:ext="edit" aspectratio="f"/>
              </v:line>
            </w:pict>
          </mc:Fallback>
        </mc:AlternateContent>
      </w:r>
      <w:r>
        <w:rPr>
          <w:rStyle w:val="7"/>
          <w:rFonts w:hint="eastAsia" w:ascii="仿宋_GB2312" w:eastAsia="仿宋_GB2312" w:cstheme="minorBidi"/>
          <w:color w:val="000000"/>
          <w:kern w:val="2"/>
          <w:sz w:val="32"/>
          <w:szCs w:val="32"/>
          <w:lang w:val="zh-CN" w:eastAsia="zh-CN" w:bidi="ar-S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1684655</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32.65pt;height:0pt;width:442.2pt;z-index:251662336;mso-width-relative:page;mso-height-relative:page;" filled="f" stroked="t" coordsize="21600,21600" o:gfxdata="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2ejOTWAAAACAEAAA8AAAAAAAAAAQAgAAAAIgAAAGRycy9kb3ducmV2LnhtbFBLAQIU&#10;ABQAAAAIAIdO4kAAGLcQ9QEAAOQDAAAOAAAAAAAAAAEAIAAAACUBAABkcnMvZTJvRG9jLnhtbFBL&#10;BQYAAAAABgAGAFkBAACMBQAAAAA=&#10;">
                <v:fill on="f" focussize="0,0"/>
                <v:stroke color="#000000" joinstyle="round"/>
                <v:imagedata o:title=""/>
                <o:lock v:ext="edit" aspectratio="f"/>
              </v:line>
            </w:pict>
          </mc:Fallback>
        </mc:AlternateContent>
      </w:r>
      <w:r>
        <w:rPr>
          <w:rStyle w:val="7"/>
          <w:rFonts w:hint="eastAsia" w:ascii="仿宋_GB2312" w:eastAsia="仿宋_GB2312" w:cstheme="minorBidi"/>
          <w:color w:val="000000"/>
          <w:kern w:val="2"/>
          <w:sz w:val="32"/>
          <w:szCs w:val="32"/>
          <w:lang w:val="zh-CN" w:eastAsia="zh-CN" w:bidi="ar-SA"/>
        </w:rPr>
        <w:t>本意见自印发之日起施行，有效期5年。</w:t>
      </w:r>
    </w:p>
    <w:p/>
    <w:sectPr>
      <w:headerReference r:id="rId3" w:type="default"/>
      <w:footerReference r:id="rId5" w:type="default"/>
      <w:headerReference r:id="rId4" w:type="even"/>
      <w:footerReference r:id="rId6" w:type="even"/>
      <w:pgSz w:w="11906" w:h="16838"/>
      <w:pgMar w:top="2098" w:right="1531" w:bottom="1985" w:left="1531" w:header="851" w:footer="1418" w:gutter="0"/>
      <w:pgNumType w:start="35"/>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jc w:val="right"/>
      <w:rPr>
        <w:rFonts w:hint="eastAsia"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Style w:val="6"/>
        <w:rFonts w:ascii="宋体" w:hAnsi="宋体" w:eastAsia="宋体"/>
        <w:sz w:val="28"/>
        <w:szCs w:val="28"/>
      </w:rPr>
      <w:instrText xml:space="preserve"> PAGE </w:instrText>
    </w:r>
    <w:r>
      <w:rPr>
        <w:rFonts w:ascii="宋体" w:hAnsi="宋体" w:eastAsia="宋体"/>
        <w:sz w:val="28"/>
        <w:szCs w:val="28"/>
      </w:rPr>
      <w:fldChar w:fldCharType="separate"/>
    </w:r>
    <w:r>
      <w:rPr>
        <w:rStyle w:val="6"/>
        <w:rFonts w:ascii="宋体" w:hAnsi="宋体" w:eastAsia="宋体"/>
        <w:sz w:val="28"/>
        <w:szCs w:val="28"/>
      </w:rPr>
      <w:t>49</w:t>
    </w:r>
    <w:r>
      <w:rPr>
        <w:rFonts w:ascii="宋体" w:hAnsi="宋体" w:eastAsia="宋体"/>
        <w:sz w:val="28"/>
        <w:szCs w:val="28"/>
      </w:rPr>
      <w:fldChar w:fldCharType="end"/>
    </w:r>
    <w:r>
      <w:rPr>
        <w:rStyle w:val="6"/>
        <w:rFonts w:hint="eastAsia" w:ascii="宋体" w:hAnsi="宋体" w:eastAsia="宋体"/>
        <w:sz w:val="28"/>
        <w:szCs w:val="28"/>
      </w:rPr>
      <w:t xml:space="preserve"> </w:t>
    </w:r>
    <w:r>
      <w:rPr>
        <w:rFonts w:hint="eastAsia"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320" w:leftChars="100" w:right="320" w:rightChars="100"/>
      <w:rPr>
        <w:rFonts w:hint="eastAsia"/>
      </w:rPr>
    </w:pPr>
    <w:r>
      <w:rPr>
        <w:rFonts w:hint="eastAsia" w:ascii="宋体" w:hAnsi="宋体" w:eastAsia="宋体"/>
        <w:sz w:val="28"/>
        <w:szCs w:val="28"/>
      </w:rPr>
      <w:t xml:space="preserve">— </w:t>
    </w:r>
    <w:r>
      <w:rPr>
        <w:rFonts w:ascii="宋体" w:hAnsi="宋体" w:eastAsia="宋体"/>
        <w:sz w:val="28"/>
        <w:szCs w:val="28"/>
      </w:rPr>
      <w:fldChar w:fldCharType="begin"/>
    </w:r>
    <w:r>
      <w:rPr>
        <w:rStyle w:val="6"/>
        <w:rFonts w:ascii="宋体" w:hAnsi="宋体" w:eastAsia="宋体"/>
        <w:sz w:val="28"/>
        <w:szCs w:val="28"/>
      </w:rPr>
      <w:instrText xml:space="preserve"> PAGE </w:instrText>
    </w:r>
    <w:r>
      <w:rPr>
        <w:rFonts w:ascii="宋体" w:hAnsi="宋体" w:eastAsia="宋体"/>
        <w:sz w:val="28"/>
        <w:szCs w:val="28"/>
      </w:rPr>
      <w:fldChar w:fldCharType="separate"/>
    </w:r>
    <w:r>
      <w:rPr>
        <w:rStyle w:val="6"/>
        <w:rFonts w:ascii="宋体" w:hAnsi="宋体" w:eastAsia="宋体"/>
        <w:sz w:val="28"/>
        <w:szCs w:val="28"/>
      </w:rPr>
      <w:t>50</w:t>
    </w:r>
    <w:r>
      <w:rPr>
        <w:rFonts w:ascii="宋体" w:hAnsi="宋体" w:eastAsia="宋体"/>
        <w:sz w:val="28"/>
        <w:szCs w:val="28"/>
      </w:rPr>
      <w:fldChar w:fldCharType="end"/>
    </w:r>
    <w:r>
      <w:rPr>
        <w:rStyle w:val="6"/>
        <w:rFonts w:hint="eastAsia" w:ascii="宋体" w:hAnsi="宋体" w:eastAsia="宋体"/>
        <w:sz w:val="28"/>
        <w:szCs w:val="28"/>
      </w:rPr>
      <w:t xml:space="preserve"> </w:t>
    </w:r>
    <w:r>
      <w:rPr>
        <w:rFonts w:hint="eastAsia" w:ascii="宋体" w:hAnsi="宋体" w:eastAsia="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E9569F"/>
    <w:rsid w:val="42E9569F"/>
    <w:rsid w:val="49503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Body Text Indent 3"/>
    <w:basedOn w:val="1"/>
    <w:qFormat/>
    <w:uiPriority w:val="0"/>
    <w:pPr>
      <w:spacing w:line="560" w:lineRule="exact"/>
      <w:ind w:left="980" w:hanging="980"/>
    </w:pPr>
    <w:rPr>
      <w:szCs w:val="20"/>
    </w:rPr>
  </w:style>
  <w:style w:type="character" w:styleId="6">
    <w:name w:val="page number"/>
    <w:basedOn w:val="5"/>
    <w:uiPriority w:val="0"/>
  </w:style>
  <w:style w:type="character" w:customStyle="1" w:styleId="7">
    <w:name w:val="NormalCharacter"/>
    <w:link w:val="8"/>
    <w:semiHidden/>
    <w:uiPriority w:val="0"/>
    <w:rPr>
      <w:rFonts w:ascii="Calibri" w:hAnsi="Calibri" w:eastAsia="宋体"/>
      <w:kern w:val="0"/>
      <w:sz w:val="20"/>
      <w:szCs w:val="20"/>
    </w:rPr>
  </w:style>
  <w:style w:type="paragraph" w:customStyle="1" w:styleId="8">
    <w:name w:val="UserStyle_0"/>
    <w:basedOn w:val="1"/>
    <w:link w:val="7"/>
    <w:qFormat/>
    <w:uiPriority w:val="0"/>
    <w:pPr>
      <w:widowControl/>
    </w:pPr>
    <w:rPr>
      <w:rFonts w:ascii="Calibri" w:hAnsi="Calibri" w:eastAsia="宋体"/>
      <w:kern w:val="0"/>
      <w:sz w:val="20"/>
      <w:szCs w:val="20"/>
    </w:rPr>
  </w:style>
  <w:style w:type="paragraph" w:customStyle="1" w:styleId="9">
    <w:name w:val="BodyText"/>
    <w:basedOn w:val="1"/>
    <w:qFormat/>
    <w:uiPriority w:val="0"/>
    <w:pPr>
      <w:spacing w:before="190"/>
      <w:ind w:left="120" w:firstLine="640"/>
      <w:textAlignment w:val="baseline"/>
    </w:pPr>
    <w:rPr>
      <w:rFonts w:hAnsi="仿宋_GB2312"/>
      <w:lang w:val="zh-CN" w:bidi="zh-CN"/>
    </w:rPr>
  </w:style>
  <w:style w:type="paragraph" w:customStyle="1" w:styleId="10">
    <w:name w:val="Heading1"/>
    <w:basedOn w:val="1"/>
    <w:next w:val="1"/>
    <w:uiPriority w:val="0"/>
    <w:pPr>
      <w:spacing w:before="2"/>
      <w:ind w:left="120" w:right="434" w:firstLine="640"/>
      <w:textAlignment w:val="baseline"/>
    </w:pPr>
    <w:rPr>
      <w:rFonts w:hAnsi="仿宋_GB2312" w:cs="仿宋_GB2312"/>
      <w:b/>
      <w:bCs/>
      <w:lang w:val="zh-CN" w:bidi="zh-CN"/>
    </w:rPr>
  </w:style>
  <w:style w:type="paragraph" w:customStyle="1" w:styleId="11">
    <w:name w:val="UserStyle_4"/>
    <w:basedOn w:val="1"/>
    <w:qFormat/>
    <w:uiPriority w:val="0"/>
    <w:pPr>
      <w:spacing w:before="190"/>
      <w:ind w:left="120" w:firstLine="640"/>
      <w:textAlignment w:val="baseline"/>
    </w:pPr>
    <w:rPr>
      <w:rFonts w:hAnsi="仿宋_GB2312"/>
      <w:sz w:val="21"/>
      <w:szCs w:val="24"/>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2021-12-01T07:35:00Z</dcterms:created>
  <dc:creator>Administrator</dc:creator>
  <cp:lastModifiedBy>林晓（烟台市大数据中心）</cp:lastModifiedBy>
  <dcterms:modified xsi:type="dcterms:W3CDTF">2023-07-04T12:46:33Z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61A1CBB9C7A9443CAB2E859CE9F2DC1C</vt:lpwstr>
  </property>
</Properties>
</file>