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楷体"/>
          <w:bCs/>
          <w:color w:val="000000"/>
          <w:szCs w:val="32"/>
        </w:rPr>
      </w:pPr>
      <w:r>
        <w:rPr>
          <w:rFonts w:hint="eastAsia" w:ascii="黑体" w:hAnsi="黑体" w:eastAsia="黑体" w:cs="楷体"/>
          <w:bCs/>
          <w:color w:val="000000"/>
          <w:szCs w:val="32"/>
        </w:rPr>
        <w:t>附件1</w:t>
      </w:r>
    </w:p>
    <w:p>
      <w:pPr>
        <w:spacing w:before="289" w:beforeLines="50" w:after="289" w:afterLines="5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“十三五”各县市区能耗强度目标</w:t>
      </w:r>
    </w:p>
    <w:tbl>
      <w:tblPr>
        <w:tblStyle w:val="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3526"/>
        <w:gridCol w:w="2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县市区</w:t>
            </w:r>
          </w:p>
        </w:tc>
        <w:tc>
          <w:tcPr>
            <w:tcW w:w="20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“十三五”能耗强度降低目标%</w:t>
            </w:r>
          </w:p>
        </w:tc>
        <w:tc>
          <w:tcPr>
            <w:tcW w:w="17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年度能耗强度降低目标%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芝罘区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福山区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莱山区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牟平区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海阳市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莱阳市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栖霞市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蓬莱市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长岛县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龙口市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招远市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莱州市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烟台开发区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Cs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20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3.43</w:t>
            </w:r>
          </w:p>
        </w:tc>
      </w:tr>
    </w:tbl>
    <w:p>
      <w:pPr>
        <w:spacing w:line="440" w:lineRule="exact"/>
        <w:ind w:left="838" w:leftChars="87" w:hanging="560" w:hangingChars="200"/>
        <w:rPr>
          <w:rFonts w:ascii="楷体_GB2312" w:eastAsia="楷体_GB2312"/>
          <w:color w:val="000000"/>
          <w:sz w:val="28"/>
          <w:szCs w:val="28"/>
        </w:rPr>
      </w:pPr>
      <w:r>
        <w:rPr>
          <w:rFonts w:hint="eastAsia" w:ascii="楷体_GB2312" w:eastAsia="楷体_GB2312"/>
          <w:color w:val="000000"/>
          <w:sz w:val="28"/>
          <w:szCs w:val="28"/>
        </w:rPr>
        <w:t>注：每年按年度目标进行考核，如果当年未完成年度目标，下一个年度目标将有所调整。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5025F"/>
    <w:rsid w:val="5E05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2021-10-29T01:07:00Z</dcterms:created>
  <dc:creator>Administrator</dc:creator>
  <cp:lastModifiedBy>Administrator</cp:lastModifiedBy>
  <dcterms:modified xsi:type="dcterms:W3CDTF">2021-10-29T01:08:49Z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3EDB92953926497790074634A24AFCDA</vt:lpwstr>
  </property>
</Properties>
</file>