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line="253" w:lineRule="auto"/>
        <w:rPr>
          <w:lang w:eastAsia="zh-CN"/>
        </w:rPr>
      </w:pPr>
    </w:p>
    <w:p>
      <w:pPr>
        <w:pStyle w:val="7"/>
        <w:spacing w:line="253" w:lineRule="auto"/>
        <w:rPr>
          <w:rFonts w:ascii="华文中宋" w:hAnsi="华文中宋" w:eastAsia="华文中宋" w:cs="Times New Roman"/>
          <w:color w:val="FF0000"/>
          <w:spacing w:val="-34"/>
          <w:sz w:val="66"/>
          <w:szCs w:val="66"/>
        </w:rPr>
      </w:pPr>
      <w:bookmarkStart w:id="136" w:name="_GoBack"/>
      <w:r>
        <w:rPr>
          <w:rFonts w:ascii="Times New Roman" w:hAnsi="Times New Roman" w:eastAsia="仿宋_GB2312" w:cs="Times New Roman"/>
          <w:sz w:val="32"/>
          <w:szCs w:val="32"/>
        </w:rPr>
        <w:drawing>
          <wp:inline distT="0" distB="0" distL="0" distR="0">
            <wp:extent cx="5239385" cy="1150620"/>
            <wp:effectExtent l="0" t="0" r="18415" b="1143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8"/>
                    <a:stretch>
                      <a:fillRect/>
                    </a:stretch>
                  </pic:blipFill>
                  <pic:spPr>
                    <a:xfrm>
                      <a:off x="0" y="0"/>
                      <a:ext cx="5305953" cy="1165794"/>
                    </a:xfrm>
                    <a:prstGeom prst="rect">
                      <a:avLst/>
                    </a:prstGeom>
                  </pic:spPr>
                </pic:pic>
              </a:graphicData>
            </a:graphic>
          </wp:inline>
        </w:drawing>
      </w:r>
      <w:bookmarkEnd w:id="136"/>
    </w:p>
    <w:p>
      <w:pPr>
        <w:tabs>
          <w:tab w:val="left" w:pos="3476"/>
        </w:tabs>
        <w:spacing w:line="584" w:lineRule="exact"/>
        <w:rPr>
          <w:rFonts w:ascii="仿宋_GB2312" w:hAnsi="仿宋_GB2312" w:eastAsia="仿宋_GB2312" w:cs="仿宋_GB2312"/>
          <w:sz w:val="32"/>
          <w:szCs w:val="32"/>
        </w:rPr>
      </w:pPr>
      <w:r>
        <w:rPr>
          <w:rFonts w:ascii="仿宋_GB2312" w:hAnsi="仿宋_GB2312" w:eastAsia="仿宋_GB2312" w:cs="仿宋_GB2312"/>
          <w:sz w:val="32"/>
          <w:szCs w:val="32"/>
        </w:rPr>
        <w:tab/>
      </w:r>
    </w:p>
    <w:p>
      <w:pPr>
        <w:tabs>
          <w:tab w:val="left" w:pos="1264"/>
        </w:tabs>
        <w:spacing w:line="600" w:lineRule="exact"/>
        <w:jc w:val="center"/>
        <w:rPr>
          <w:rFonts w:hint="default" w:ascii="方正小标宋简体" w:hAnsi="方正小标宋简体" w:eastAsia="方正小标宋简体" w:cs="方正小标宋简体"/>
          <w:sz w:val="32"/>
          <w:szCs w:val="32"/>
          <w:lang w:val="en-US" w:eastAsia="zh-CN"/>
        </w:rPr>
      </w:pPr>
      <w:r>
        <w:rPr>
          <w:rFonts w:hint="eastAsia" w:ascii="仿宋" w:hAnsi="仿宋" w:eastAsia="仿宋" w:cs="仿宋"/>
          <w:sz w:val="32"/>
          <w:szCs w:val="32"/>
          <w:lang w:val="en-US" w:eastAsia="zh-CN"/>
        </w:rPr>
        <w:t>莱卫政发[2023]88号</w:t>
      </w:r>
    </w:p>
    <w:p>
      <w:pPr>
        <w:tabs>
          <w:tab w:val="left" w:pos="1264"/>
        </w:tabs>
        <w:spacing w:line="600" w:lineRule="exact"/>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mc:AlternateContent>
          <mc:Choice Requires="wps">
            <w:drawing>
              <wp:anchor distT="0" distB="0" distL="114300" distR="114300" simplePos="0" relativeHeight="251662336" behindDoc="0" locked="0" layoutInCell="1" allowOverlap="1">
                <wp:simplePos x="0" y="0"/>
                <wp:positionH relativeFrom="margin">
                  <wp:align>left</wp:align>
                </wp:positionH>
                <wp:positionV relativeFrom="paragraph">
                  <wp:posOffset>74295</wp:posOffset>
                </wp:positionV>
                <wp:extent cx="5715000" cy="38100"/>
                <wp:effectExtent l="0" t="12700" r="0" b="25400"/>
                <wp:wrapNone/>
                <wp:docPr id="8" name="直线 51"/>
                <wp:cNvGraphicFramePr/>
                <a:graphic xmlns:a="http://schemas.openxmlformats.org/drawingml/2006/main">
                  <a:graphicData uri="http://schemas.microsoft.com/office/word/2010/wordprocessingShape">
                    <wps:wsp>
                      <wps:cNvCnPr>
                        <a:cxnSpLocks noChangeShapeType="1"/>
                      </wps:cNvCnPr>
                      <wps:spPr bwMode="auto">
                        <a:xfrm>
                          <a:off x="0" y="0"/>
                          <a:ext cx="5715000" cy="38100"/>
                        </a:xfrm>
                        <a:prstGeom prst="line">
                          <a:avLst/>
                        </a:prstGeom>
                        <a:noFill/>
                        <a:ln w="25400" cmpd="sng">
                          <a:solidFill>
                            <a:srgbClr val="FF0000"/>
                          </a:solidFill>
                          <a:round/>
                        </a:ln>
                      </wps:spPr>
                      <wps:bodyPr/>
                    </wps:wsp>
                  </a:graphicData>
                </a:graphic>
              </wp:anchor>
            </w:drawing>
          </mc:Choice>
          <mc:Fallback>
            <w:pict>
              <v:line id="直线 51" o:spid="_x0000_s1026" o:spt="20" style="position:absolute;left:0pt;margin-top:5.85pt;height:3pt;width:450pt;mso-position-horizontal:left;mso-position-horizontal-relative:margin;z-index:251662336;mso-width-relative:page;mso-height-relative:page;" filled="f" stroked="t" coordsize="21600,21600" o:gfxdata="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CQjdb0wAAAAYBAAAPAAAA&#10;AAAAAAEAIAAAACIAAABkcnMvZG93bnJldi54bWxQSwECFAAUAAAACACHTuJAqE+YiOEBAACyAwAA&#10;DgAAAAAAAAABACAAAAAiAQAAZHJzL2Uyb0RvYy54bWxQSwUGAAAAAAYABgBZAQAAdQUAAAAA&#10;">
                <v:fill on="f" focussize="0,0"/>
                <v:stroke weight="2pt" color="#FF0000" joinstyle="round"/>
                <v:imagedata o:title=""/>
                <o:lock v:ext="edit" aspectratio="f"/>
              </v:line>
            </w:pict>
          </mc:Fallback>
        </mc:AlternateContent>
      </w:r>
      <w:r>
        <w:rPr>
          <w:rFonts w:ascii="方正小标宋简体" w:hAnsi="方正小标宋简体" w:eastAsia="方正小标宋简体" w:cs="方正小标宋简体"/>
          <w:sz w:val="32"/>
          <w:szCs w:val="32"/>
        </w:rPr>
        <w:t xml:space="preserve">            </w:t>
      </w:r>
    </w:p>
    <w:p>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山东省莱阳卫生学校</w:t>
      </w:r>
    </w:p>
    <w:p>
      <w:pPr>
        <w:keepNext w:val="0"/>
        <w:keepLines w:val="0"/>
        <w:pageBreakBefore w:val="0"/>
        <w:widowControl w:val="0"/>
        <w:kinsoku/>
        <w:wordWrap/>
        <w:overflowPunct/>
        <w:topLinePunct w:val="0"/>
        <w:autoSpaceDE w:val="0"/>
        <w:autoSpaceDN w:val="0"/>
        <w:bidi w:val="0"/>
        <w:adjustRightInd w:val="0"/>
        <w:snapToGrid w:val="0"/>
        <w:spacing w:line="560" w:lineRule="exact"/>
        <w:jc w:val="center"/>
        <w:textAlignment w:val="auto"/>
        <w:rPr>
          <w:rFonts w:hint="eastAsia" w:ascii="宋体" w:hAnsi="宋体" w:eastAsia="宋体" w:cs="宋体"/>
          <w:b/>
          <w:bCs/>
          <w:color w:val="000000"/>
          <w:kern w:val="0"/>
          <w:sz w:val="44"/>
          <w:szCs w:val="44"/>
        </w:rPr>
      </w:pPr>
      <w:r>
        <w:rPr>
          <w:rFonts w:hint="eastAsia" w:ascii="宋体" w:hAnsi="宋体" w:eastAsia="宋体" w:cs="宋体"/>
          <w:b/>
          <w:bCs/>
          <w:sz w:val="44"/>
          <w:szCs w:val="44"/>
          <w:lang w:val="en-US" w:eastAsia="zh-CN"/>
        </w:rPr>
        <w:t>2023年中等职业教育质量年度报告</w:t>
      </w: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640" w:firstLineChars="200"/>
        <w:jc w:val="left"/>
        <w:textAlignment w:val="auto"/>
        <w:rPr>
          <w:rFonts w:hint="eastAsia" w:ascii="仿宋_GB2312" w:hAnsi="Times New Roman" w:eastAsia="仿宋_GB2312" w:cs="仿宋_GB2312"/>
          <w:color w:val="000000"/>
          <w:kern w:val="0"/>
          <w:sz w:val="32"/>
          <w:szCs w:val="32"/>
        </w:rPr>
      </w:pPr>
    </w:p>
    <w:p>
      <w:pPr>
        <w:keepNext w:val="0"/>
        <w:keepLines w:val="0"/>
        <w:pageBreakBefore w:val="0"/>
        <w:widowControl w:val="0"/>
        <w:kinsoku/>
        <w:wordWrap/>
        <w:overflowPunct/>
        <w:topLinePunct w:val="0"/>
        <w:autoSpaceDE w:val="0"/>
        <w:autoSpaceDN w:val="0"/>
        <w:bidi w:val="0"/>
        <w:adjustRightInd w:val="0"/>
        <w:snapToGrid w:val="0"/>
        <w:spacing w:line="560" w:lineRule="exact"/>
        <w:ind w:firstLine="560" w:firstLineChars="200"/>
        <w:jc w:val="both"/>
        <w:textAlignment w:val="auto"/>
        <w:rPr>
          <w:rFonts w:hint="eastAsia" w:ascii="仿宋_GB2312" w:hAnsi="Times New Roman" w:eastAsia="仿宋_GB2312" w:cs="仿宋_GB2312"/>
          <w:color w:val="000000"/>
          <w:kern w:val="0"/>
          <w:sz w:val="32"/>
          <w:szCs w:val="32"/>
          <w:lang w:val="en-US" w:eastAsia="zh-CN"/>
        </w:rPr>
      </w:pPr>
      <w:r>
        <w:rPr>
          <w:rFonts w:hint="eastAsia" w:ascii="仿宋_GB2312" w:hAnsi="Times New Roman" w:eastAsia="仿宋_GB2312" w:cs="仿宋_GB2312"/>
          <w:color w:val="000000"/>
          <w:kern w:val="0"/>
          <w:sz w:val="28"/>
          <w:szCs w:val="28"/>
        </w:rPr>
        <w:t>根据山东省教育厅《关于做好职业教育质量报告（2023年度）编制、发布和报送工作的通知》(鲁教职函〔2023〕57号)文件要求，</w:t>
      </w:r>
      <w:r>
        <w:rPr>
          <w:rFonts w:hint="eastAsia" w:ascii="仿宋_GB2312" w:hAnsi="Times New Roman" w:eastAsia="仿宋_GB2312" w:cs="仿宋_GB2312"/>
          <w:color w:val="000000"/>
          <w:kern w:val="0"/>
          <w:sz w:val="28"/>
          <w:szCs w:val="28"/>
          <w:lang w:val="en-US" w:eastAsia="zh-CN"/>
        </w:rPr>
        <w:t>学校高度重视职业教育质量年度报告编制工作，围绕人才培养、服务贡献、文化传承、国际合作、产教融合、发展保障、面临挑战等七个部分进行总结，全面呈现学校2022-2023学年取得的办学成果和办学特色，助力服务区域卫生健康事业发展。现将山东省莱阳卫生学校2023年中等职业教育质量年度报告公示。</w:t>
      </w:r>
    </w:p>
    <w:p>
      <w:pPr>
        <w:keepNext w:val="0"/>
        <w:keepLines w:val="0"/>
        <w:pageBreakBefore w:val="0"/>
        <w:widowControl w:val="0"/>
        <w:kinsoku/>
        <w:wordWrap/>
        <w:overflowPunct/>
        <w:topLinePunct w:val="0"/>
        <w:bidi w:val="0"/>
        <w:spacing w:after="0" w:line="560" w:lineRule="exact"/>
        <w:ind w:left="0" w:leftChars="0" w:firstLine="640" w:firstLineChars="200"/>
        <w:jc w:val="both"/>
        <w:textAlignment w:val="auto"/>
        <w:rPr>
          <w:rFonts w:hint="eastAsia" w:ascii="仿宋" w:hAnsi="仿宋" w:eastAsia="仿宋" w:cs="仿宋"/>
          <w:color w:val="000000"/>
          <w:kern w:val="0"/>
          <w:sz w:val="32"/>
          <w:szCs w:val="32"/>
          <w:lang w:val="en-US" w:eastAsia="zh-CN" w:bidi="ar-SA"/>
        </w:rPr>
      </w:pPr>
    </w:p>
    <w:p>
      <w:pPr>
        <w:keepNext w:val="0"/>
        <w:keepLines w:val="0"/>
        <w:pageBreakBefore w:val="0"/>
        <w:widowControl w:val="0"/>
        <w:kinsoku/>
        <w:wordWrap/>
        <w:overflowPunct/>
        <w:topLinePunct w:val="0"/>
        <w:bidi w:val="0"/>
        <w:spacing w:after="0" w:line="560" w:lineRule="exact"/>
        <w:ind w:left="0" w:leftChars="0" w:firstLine="560" w:firstLineChars="200"/>
        <w:jc w:val="both"/>
        <w:textAlignment w:val="auto"/>
        <w:rPr>
          <w:rFonts w:hint="eastAsia" w:ascii="仿宋" w:hAnsi="仿宋" w:eastAsia="仿宋" w:cs="仿宋"/>
          <w:kern w:val="2"/>
          <w:sz w:val="28"/>
          <w:szCs w:val="28"/>
          <w:lang w:val="en-US" w:eastAsia="zh-CN" w:bidi="ar-SA"/>
        </w:rPr>
      </w:pPr>
      <w:r>
        <w:rPr>
          <w:rFonts w:hint="eastAsia" w:ascii="仿宋" w:hAnsi="仿宋" w:eastAsia="仿宋" w:cs="仿宋"/>
          <w:color w:val="000000"/>
          <w:kern w:val="0"/>
          <w:sz w:val="28"/>
          <w:szCs w:val="28"/>
          <w:lang w:val="en-US" w:eastAsia="zh-CN" w:bidi="ar-SA"/>
        </w:rPr>
        <w:t>附件：山东省莱阳卫生学校2023年中等职业教育质量年度报告</w:t>
      </w:r>
      <w:r>
        <w:rPr>
          <w:rFonts w:hint="eastAsia" w:ascii="方正小标宋简体" w:hAnsi="方正小标宋简体" w:eastAsia="方正小标宋简体" w:cs="方正小标宋简体"/>
          <w:kern w:val="2"/>
          <w:sz w:val="28"/>
          <w:szCs w:val="28"/>
          <w:lang w:val="en-US" w:eastAsia="zh-CN" w:bidi="ar-SA"/>
        </w:rPr>
        <w:t xml:space="preserve">   </w:t>
      </w:r>
      <w:r>
        <w:rPr>
          <w:rFonts w:hint="eastAsia" w:ascii="仿宋" w:hAnsi="仿宋" w:eastAsia="仿宋" w:cs="仿宋"/>
          <w:kern w:val="2"/>
          <w:sz w:val="28"/>
          <w:szCs w:val="28"/>
          <w:lang w:val="en-US" w:eastAsia="zh-CN" w:bidi="ar-SA"/>
        </w:rPr>
        <w:t xml:space="preserve">                          </w:t>
      </w:r>
    </w:p>
    <w:p>
      <w:pPr>
        <w:widowControl w:val="0"/>
        <w:spacing w:after="0"/>
        <w:ind w:firstLine="5600" w:firstLineChars="200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山东省莱阳卫生学校</w:t>
      </w:r>
    </w:p>
    <w:p>
      <w:pPr>
        <w:widowControl w:val="0"/>
        <w:spacing w:after="0"/>
        <w:ind w:firstLine="5600" w:firstLineChars="200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2023年12月31日</w:t>
      </w:r>
    </w:p>
    <w:p>
      <w:pPr>
        <w:widowControl w:val="0"/>
        <w:spacing w:after="0"/>
        <w:ind w:left="0" w:leftChars="0" w:firstLine="0" w:firstLineChars="0"/>
        <w:jc w:val="both"/>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 xml:space="preserve">  </w:t>
      </w:r>
    </w:p>
    <w:p>
      <w:pPr>
        <w:widowControl w:val="0"/>
        <w:spacing w:after="0"/>
        <w:ind w:left="0" w:leftChars="0" w:firstLine="0" w:firstLineChars="0"/>
        <w:jc w:val="center"/>
        <w:rPr>
          <w:rFonts w:hint="eastAsia" w:ascii="黑体" w:hAnsi="黑体" w:eastAsia="黑体" w:cs="黑体"/>
          <w:snapToGrid w:val="0"/>
          <w:color w:val="A20000"/>
          <w:spacing w:val="5"/>
          <w:kern w:val="0"/>
          <w:sz w:val="28"/>
          <w:szCs w:val="28"/>
          <w:lang w:val="en-US" w:eastAsia="zh-CN"/>
        </w:rPr>
      </w:pPr>
      <w:r>
        <w:rPr>
          <w:rFonts w:hint="eastAsia" w:ascii="仿宋" w:hAnsi="仿宋" w:eastAsia="仿宋" w:cs="仿宋"/>
          <w:kern w:val="2"/>
          <w:sz w:val="28"/>
          <w:szCs w:val="28"/>
          <w:lang w:val="en-US" w:eastAsia="zh-CN" w:bidi="ar-SA"/>
        </w:rPr>
        <w:t>（联系人：董广云，电话：0535-7297507）</w:t>
      </w:r>
    </w:p>
    <w:p>
      <w:pPr>
        <w:rPr>
          <w:rFonts w:hint="eastAsia" w:ascii="黑体" w:hAnsi="黑体" w:eastAsia="黑体" w:cs="黑体"/>
          <w:snapToGrid w:val="0"/>
          <w:color w:val="A20000"/>
          <w:spacing w:val="5"/>
          <w:kern w:val="0"/>
          <w:sz w:val="72"/>
          <w:szCs w:val="72"/>
          <w:lang w:val="en-US" w:eastAsia="zh-CN"/>
        </w:rPr>
      </w:pPr>
      <w:r>
        <w:rPr>
          <w:rFonts w:hint="eastAsia" w:ascii="黑体" w:hAnsi="黑体" w:eastAsia="黑体" w:cs="黑体"/>
          <w:snapToGrid w:val="0"/>
          <w:color w:val="A20000"/>
          <w:spacing w:val="5"/>
          <w:kern w:val="0"/>
          <w:sz w:val="72"/>
          <w:szCs w:val="72"/>
          <w:lang w:val="en-US" w:eastAsia="zh-CN"/>
        </w:rPr>
        <w:br w:type="page"/>
      </w:r>
    </w:p>
    <w:p>
      <w:pPr>
        <w:keepNext w:val="0"/>
        <w:keepLines w:val="0"/>
        <w:pageBreakBefore w:val="0"/>
        <w:widowControl w:val="0"/>
        <w:kinsoku/>
        <w:wordWrap/>
        <w:overflowPunct/>
        <w:topLinePunct w:val="0"/>
        <w:autoSpaceDE/>
        <w:autoSpaceDN/>
        <w:bidi w:val="0"/>
        <w:adjustRightInd/>
        <w:snapToGrid/>
        <w:spacing w:before="157" w:beforeLines="50" w:after="313" w:afterLines="100" w:line="240" w:lineRule="auto"/>
        <w:jc w:val="center"/>
        <w:textAlignment w:val="auto"/>
        <w:outlineLvl w:val="0"/>
        <w:rPr>
          <w:rFonts w:hint="eastAsia" w:ascii="黑体" w:hAnsi="黑体" w:eastAsia="黑体" w:cs="黑体"/>
          <w:snapToGrid w:val="0"/>
          <w:color w:val="A20000"/>
          <w:spacing w:val="5"/>
          <w:kern w:val="0"/>
          <w:sz w:val="72"/>
          <w:szCs w:val="72"/>
          <w:lang w:val="en-US" w:eastAsia="zh-CN"/>
        </w:rPr>
      </w:pPr>
      <w:r>
        <w:rPr>
          <w:rFonts w:hint="eastAsia" w:ascii="黑体" w:hAnsi="黑体" w:eastAsia="黑体" w:cs="黑体"/>
          <w:snapToGrid w:val="0"/>
          <w:color w:val="A20000"/>
          <w:spacing w:val="5"/>
          <w:kern w:val="0"/>
          <w:sz w:val="72"/>
          <w:szCs w:val="72"/>
          <w:lang w:val="en-US" w:eastAsia="zh-CN"/>
        </w:rPr>
        <w:t>前言</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b/>
          <w:bCs/>
          <w:color w:val="A20000"/>
          <w:sz w:val="28"/>
          <w:szCs w:val="28"/>
          <w:lang w:val="en-US" w:eastAsia="zh-CN"/>
        </w:rPr>
        <w:t>山东省莱阳卫生学校</w:t>
      </w:r>
      <w:r>
        <w:rPr>
          <w:rFonts w:hint="eastAsia" w:ascii="仿宋_GB2312" w:hAnsi="仿宋_GB2312" w:eastAsia="仿宋_GB2312" w:cs="仿宋_GB2312"/>
          <w:sz w:val="28"/>
          <w:szCs w:val="28"/>
          <w:lang w:val="en-US" w:eastAsia="zh-CN"/>
        </w:rPr>
        <w:t>是由烟台市人民政府举办，以培养基层医疗卫生一线需要的医护技术人员为主的公办中等职业学校。办学七十多年来，为社会培养了4万余名基层卫生健康技术技能人才。</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b/>
          <w:bCs/>
          <w:color w:val="A20000"/>
          <w:sz w:val="28"/>
          <w:szCs w:val="28"/>
        </w:rPr>
        <w:t>七秩芳华，厚积薄发。</w:t>
      </w:r>
      <w:r>
        <w:rPr>
          <w:rFonts w:hint="eastAsia" w:ascii="仿宋_GB2312" w:hAnsi="仿宋_GB2312" w:eastAsia="仿宋_GB2312" w:cs="仿宋_GB2312"/>
          <w:sz w:val="28"/>
          <w:szCs w:val="28"/>
          <w:lang w:val="en-US" w:eastAsia="zh-CN"/>
        </w:rPr>
        <w:t>山东省莱阳卫生学校</w:t>
      </w:r>
      <w:r>
        <w:rPr>
          <w:rFonts w:hint="eastAsia" w:ascii="仿宋_GB2312" w:hAnsi="仿宋_GB2312" w:eastAsia="仿宋_GB2312" w:cs="仿宋_GB2312"/>
          <w:sz w:val="28"/>
          <w:szCs w:val="28"/>
        </w:rPr>
        <w:t>始建于1951年，</w:t>
      </w:r>
      <w:r>
        <w:rPr>
          <w:rFonts w:hint="eastAsia" w:ascii="仿宋_GB2312" w:hAnsi="仿宋_GB2312" w:eastAsia="仿宋_GB2312" w:cs="仿宋_GB2312"/>
          <w:sz w:val="28"/>
          <w:szCs w:val="28"/>
          <w:lang w:val="en-US" w:eastAsia="zh-CN"/>
        </w:rPr>
        <w:t>是</w:t>
      </w:r>
      <w:r>
        <w:rPr>
          <w:rFonts w:hint="eastAsia" w:ascii="仿宋_GB2312" w:hAnsi="仿宋_GB2312" w:eastAsia="仿宋_GB2312" w:cs="仿宋_GB2312"/>
          <w:sz w:val="28"/>
          <w:szCs w:val="28"/>
        </w:rPr>
        <w:t>国家级首批重点中专，教育部现代学徒制试点学校、教育部首批“1+X”证书制度试点学校、山东省示范性建设学校、山东省高水平建设学校、</w:t>
      </w:r>
      <w:r>
        <w:rPr>
          <w:rFonts w:hint="eastAsia" w:ascii="仿宋_GB2312" w:hAnsi="仿宋_GB2312" w:eastAsia="仿宋_GB2312" w:cs="仿宋_GB2312"/>
          <w:sz w:val="28"/>
          <w:szCs w:val="28"/>
          <w:lang w:val="en-US" w:eastAsia="zh-CN"/>
        </w:rPr>
        <w:t>山东</w:t>
      </w:r>
      <w:r>
        <w:rPr>
          <w:rFonts w:hint="eastAsia" w:ascii="仿宋_GB2312" w:hAnsi="仿宋_GB2312" w:eastAsia="仿宋_GB2312" w:cs="仿宋_GB2312"/>
          <w:sz w:val="28"/>
          <w:szCs w:val="28"/>
        </w:rPr>
        <w:t>省“3+4”对口贯通分段培养试点学校、山东省体卫融合试点学校、山东省校企一体化合作办学示范院校、山东省教学工作诊断与改进试点学校</w:t>
      </w:r>
      <w:r>
        <w:rPr>
          <w:rFonts w:hint="eastAsia" w:ascii="仿宋_GB2312" w:hAnsi="仿宋_GB2312" w:eastAsia="仿宋_GB2312" w:cs="仿宋_GB2312"/>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ascii="仿宋" w:hAnsi="仿宋" w:eastAsia="仿宋" w:cs="仿宋"/>
          <w:sz w:val="32"/>
          <w:szCs w:val="32"/>
        </w:rPr>
      </w:pPr>
      <w:r>
        <w:rPr>
          <w:rFonts w:hint="eastAsia" w:ascii="仿宋_GB2312" w:hAnsi="仿宋_GB2312" w:eastAsia="仿宋_GB2312" w:cs="仿宋_GB2312"/>
          <w:b/>
          <w:bCs/>
          <w:color w:val="A20000"/>
          <w:sz w:val="28"/>
          <w:szCs w:val="28"/>
        </w:rPr>
        <w:t>健康产业，特色培优。</w:t>
      </w:r>
      <w:r>
        <w:rPr>
          <w:rFonts w:hint="eastAsia" w:ascii="仿宋_GB2312" w:hAnsi="仿宋_GB2312" w:eastAsia="仿宋_GB2312" w:cs="仿宋_GB2312"/>
          <w:sz w:val="28"/>
          <w:szCs w:val="28"/>
          <w:lang w:val="en-US" w:eastAsia="zh-CN"/>
        </w:rPr>
        <w:t>山东省莱阳卫生学校</w:t>
      </w:r>
      <w:r>
        <w:rPr>
          <w:rFonts w:hint="eastAsia" w:ascii="仿宋_GB2312" w:hAnsi="仿宋_GB2312" w:eastAsia="仿宋_GB2312" w:cs="仿宋_GB2312"/>
          <w:sz w:val="28"/>
          <w:szCs w:val="28"/>
        </w:rPr>
        <w:t>服务山东省医养健康产业发展，开设护理等七个专业，举办“3+4”对口贯通分段培养、“三二连读”高职和三年制中专三个学历层次的全日制教育，</w:t>
      </w:r>
      <w:r>
        <w:rPr>
          <w:rFonts w:hint="eastAsia" w:ascii="仿宋_GB2312" w:hAnsi="仿宋_GB2312" w:eastAsia="仿宋_GB2312" w:cs="仿宋_GB2312"/>
          <w:sz w:val="28"/>
          <w:szCs w:val="28"/>
          <w:lang w:val="en-US" w:eastAsia="zh-CN"/>
        </w:rPr>
        <w:t>开展</w:t>
      </w:r>
      <w:r>
        <w:rPr>
          <w:rFonts w:hint="eastAsia" w:ascii="仿宋_GB2312" w:hAnsi="仿宋_GB2312" w:eastAsia="仿宋_GB2312" w:cs="仿宋_GB2312"/>
          <w:sz w:val="28"/>
          <w:szCs w:val="28"/>
        </w:rPr>
        <w:t>各类职业资格培训等非全日制教育。作为中国护理职教联盟理事长单位，牵头制定</w:t>
      </w:r>
      <w:r>
        <w:rPr>
          <w:rFonts w:hint="eastAsia" w:ascii="仿宋_GB2312" w:hAnsi="仿宋_GB2312" w:eastAsia="仿宋_GB2312" w:cs="仿宋_GB2312"/>
          <w:sz w:val="28"/>
          <w:szCs w:val="28"/>
          <w:lang w:eastAsia="zh-CN"/>
        </w:rPr>
        <w:t>了</w:t>
      </w:r>
      <w:r>
        <w:rPr>
          <w:rFonts w:hint="eastAsia" w:ascii="仿宋_GB2312" w:hAnsi="仿宋_GB2312" w:eastAsia="仿宋_GB2312" w:cs="仿宋_GB2312"/>
          <w:sz w:val="28"/>
          <w:szCs w:val="28"/>
        </w:rPr>
        <w:t>药剂专业国家教学标准，参与制定</w:t>
      </w:r>
      <w:r>
        <w:rPr>
          <w:rFonts w:hint="eastAsia" w:ascii="仿宋_GB2312" w:hAnsi="仿宋_GB2312" w:eastAsia="仿宋_GB2312" w:cs="仿宋_GB2312"/>
          <w:sz w:val="28"/>
          <w:szCs w:val="28"/>
          <w:lang w:eastAsia="zh-CN"/>
        </w:rPr>
        <w:t>了</w:t>
      </w:r>
      <w:r>
        <w:rPr>
          <w:rFonts w:hint="eastAsia" w:ascii="仿宋_GB2312" w:hAnsi="仿宋_GB2312" w:eastAsia="仿宋_GB2312" w:cs="仿宋_GB2312"/>
          <w:sz w:val="28"/>
          <w:szCs w:val="28"/>
        </w:rPr>
        <w:t>口腔修复工艺专业实训教学条件国家标准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山东</w:t>
      </w:r>
      <w:r>
        <w:rPr>
          <w:rFonts w:hint="eastAsia" w:ascii="仿宋_GB2312" w:hAnsi="仿宋_GB2312" w:eastAsia="仿宋_GB2312" w:cs="仿宋_GB2312"/>
          <w:sz w:val="28"/>
          <w:szCs w:val="28"/>
        </w:rPr>
        <w:t>省专业教学指导方案，获中央财政支持实训室建设项目。学生</w:t>
      </w:r>
      <w:r>
        <w:rPr>
          <w:rFonts w:hint="eastAsia" w:ascii="仿宋_GB2312" w:hAnsi="仿宋_GB2312" w:eastAsia="仿宋_GB2312" w:cs="仿宋_GB2312"/>
          <w:sz w:val="28"/>
          <w:szCs w:val="28"/>
          <w:lang w:val="en-US" w:eastAsia="zh-CN"/>
        </w:rPr>
        <w:t>在</w:t>
      </w:r>
      <w:r>
        <w:rPr>
          <w:rFonts w:hint="eastAsia" w:ascii="仿宋_GB2312" w:hAnsi="仿宋_GB2312" w:eastAsia="仿宋_GB2312" w:cs="仿宋_GB2312"/>
          <w:sz w:val="28"/>
          <w:szCs w:val="28"/>
        </w:rPr>
        <w:t>各级各类技能大赛</w:t>
      </w:r>
      <w:r>
        <w:rPr>
          <w:rFonts w:hint="eastAsia" w:ascii="仿宋_GB2312" w:hAnsi="仿宋_GB2312" w:eastAsia="仿宋_GB2312" w:cs="仿宋_GB2312"/>
          <w:sz w:val="28"/>
          <w:szCs w:val="28"/>
          <w:lang w:val="en-US" w:eastAsia="zh-CN"/>
        </w:rPr>
        <w:t>中获奖168</w:t>
      </w:r>
      <w:r>
        <w:rPr>
          <w:rFonts w:hint="eastAsia" w:ascii="仿宋_GB2312" w:hAnsi="仿宋_GB2312" w:eastAsia="仿宋_GB2312" w:cs="仿宋_GB2312"/>
          <w:sz w:val="28"/>
          <w:szCs w:val="28"/>
        </w:rPr>
        <w:t>项，涌现出“山东省道德模范”“山东好人”“感动烟台白衣天使”“最美逆行者”、齐鲁工匠后备人才等优秀学生。</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color w:val="A20000"/>
          <w:sz w:val="28"/>
          <w:szCs w:val="28"/>
        </w:rPr>
        <w:t>双师培养，立德树人。</w:t>
      </w:r>
      <w:r>
        <w:rPr>
          <w:rFonts w:hint="eastAsia" w:ascii="仿宋_GB2312" w:hAnsi="仿宋_GB2312" w:eastAsia="仿宋_GB2312" w:cs="仿宋_GB2312"/>
          <w:sz w:val="28"/>
          <w:szCs w:val="28"/>
          <w:lang w:val="en-US" w:eastAsia="zh-CN"/>
        </w:rPr>
        <w:t>山东省莱阳卫生学校</w:t>
      </w:r>
      <w:r>
        <w:rPr>
          <w:rFonts w:hint="eastAsia" w:ascii="仿宋_GB2312" w:hAnsi="仿宋_GB2312" w:eastAsia="仿宋_GB2312" w:cs="仿宋_GB2312"/>
          <w:sz w:val="28"/>
          <w:szCs w:val="28"/>
        </w:rPr>
        <w:t>加强“双师型”教师队伍建设，实施“名师引领、招才引智、校企兼聘、企业实践”建设工程，落实</w:t>
      </w:r>
      <w:r>
        <w:rPr>
          <w:rFonts w:hint="eastAsia" w:ascii="仿宋_GB2312" w:hAnsi="仿宋_GB2312" w:eastAsia="仿宋_GB2312" w:cs="仿宋_GB2312"/>
          <w:sz w:val="28"/>
          <w:szCs w:val="28"/>
          <w:lang w:val="en-US" w:eastAsia="zh-CN"/>
        </w:rPr>
        <w:t>教师</w:t>
      </w:r>
      <w:r>
        <w:rPr>
          <w:rFonts w:hint="eastAsia" w:ascii="仿宋_GB2312" w:hAnsi="仿宋_GB2312" w:eastAsia="仿宋_GB2312" w:cs="仿宋_GB2312"/>
          <w:sz w:val="28"/>
          <w:szCs w:val="28"/>
        </w:rPr>
        <w:t>素质提升计划，构建“教育教学能力、专业实践能力、教研科研能力、信息技术应用能力、社会服务能力”</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五能</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培养体系，打造高水平教学团队。近五年培养</w:t>
      </w:r>
      <w:r>
        <w:rPr>
          <w:rFonts w:hint="eastAsia" w:ascii="仿宋_GB2312" w:hAnsi="仿宋_GB2312" w:eastAsia="仿宋_GB2312" w:cs="仿宋_GB2312"/>
          <w:sz w:val="28"/>
          <w:szCs w:val="28"/>
          <w:lang w:val="en-US" w:eastAsia="zh-CN"/>
        </w:rPr>
        <w:t>齐鲁</w:t>
      </w:r>
      <w:r>
        <w:rPr>
          <w:rFonts w:hint="eastAsia" w:ascii="仿宋_GB2312" w:hAnsi="仿宋_GB2312" w:eastAsia="仿宋_GB2312" w:cs="仿宋_GB2312"/>
          <w:sz w:val="28"/>
          <w:szCs w:val="28"/>
        </w:rPr>
        <w:t>名校长、</w:t>
      </w:r>
      <w:r>
        <w:rPr>
          <w:rFonts w:hint="eastAsia" w:ascii="仿宋_GB2312" w:hAnsi="仿宋_GB2312" w:eastAsia="仿宋_GB2312" w:cs="仿宋_GB2312"/>
          <w:sz w:val="28"/>
          <w:szCs w:val="28"/>
          <w:lang w:val="en-US" w:eastAsia="zh-CN"/>
        </w:rPr>
        <w:t>齐鲁</w:t>
      </w:r>
      <w:r>
        <w:rPr>
          <w:rFonts w:hint="eastAsia" w:ascii="仿宋_GB2312" w:hAnsi="仿宋_GB2312" w:eastAsia="仿宋_GB2312" w:cs="仿宋_GB2312"/>
          <w:sz w:val="28"/>
          <w:szCs w:val="28"/>
        </w:rPr>
        <w:t>名师、</w:t>
      </w:r>
      <w:r>
        <w:rPr>
          <w:rFonts w:hint="eastAsia" w:ascii="仿宋_GB2312" w:hAnsi="仿宋_GB2312" w:eastAsia="仿宋_GB2312" w:cs="仿宋_GB2312"/>
          <w:sz w:val="28"/>
          <w:szCs w:val="28"/>
          <w:lang w:val="en-US" w:eastAsia="zh-CN"/>
        </w:rPr>
        <w:t>齐鲁</w:t>
      </w:r>
      <w:r>
        <w:rPr>
          <w:rFonts w:hint="eastAsia" w:ascii="仿宋_GB2312" w:hAnsi="仿宋_GB2312" w:eastAsia="仿宋_GB2312" w:cs="仿宋_GB2312"/>
          <w:sz w:val="28"/>
          <w:szCs w:val="28"/>
        </w:rPr>
        <w:t>名班主任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省级特级教师等</w:t>
      </w:r>
      <w:r>
        <w:rPr>
          <w:rFonts w:hint="eastAsia" w:ascii="仿宋_GB2312" w:hAnsi="仿宋_GB2312" w:eastAsia="仿宋_GB2312" w:cs="仿宋_GB2312"/>
          <w:sz w:val="28"/>
          <w:szCs w:val="28"/>
        </w:rPr>
        <w:t>19人，42人担任全国、省、市各级各类行业学会主任、副主任委员。35人担任国规、省规教材主编，入选首批“十四五”职业教育国家规划教材3本。51人次获国家、省、市级教学大赛奖项。获国家级教学成果奖二等奖</w:t>
      </w:r>
      <w:r>
        <w:rPr>
          <w:rFonts w:hint="eastAsia" w:ascii="仿宋_GB2312" w:hAnsi="仿宋_GB2312" w:eastAsia="仿宋_GB2312" w:cs="仿宋_GB2312"/>
          <w:sz w:val="28"/>
          <w:szCs w:val="28"/>
          <w:lang w:val="en-US" w:eastAsia="zh-CN"/>
        </w:rPr>
        <w:t>等教学</w:t>
      </w:r>
      <w:r>
        <w:rPr>
          <w:rFonts w:hint="eastAsia" w:ascii="仿宋_GB2312" w:hAnsi="仿宋_GB2312" w:eastAsia="仿宋_GB2312" w:cs="仿宋_GB2312"/>
          <w:sz w:val="28"/>
          <w:szCs w:val="28"/>
        </w:rPr>
        <w:t>成果奖9项。建设省级精品资源共享课７门、省级在线开放课程5门、一流核心课程2门、国家在线精品课程1门。</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color w:val="A20000"/>
          <w:sz w:val="28"/>
          <w:szCs w:val="28"/>
        </w:rPr>
        <w:t>产教融合，服务社会。</w:t>
      </w:r>
      <w:r>
        <w:rPr>
          <w:rFonts w:hint="eastAsia" w:ascii="仿宋_GB2312" w:hAnsi="仿宋_GB2312" w:eastAsia="仿宋_GB2312" w:cs="仿宋_GB2312"/>
          <w:sz w:val="28"/>
          <w:szCs w:val="28"/>
          <w:lang w:val="en-US" w:eastAsia="zh-CN"/>
        </w:rPr>
        <w:t>山东省莱阳卫生学校</w:t>
      </w:r>
      <w:r>
        <w:rPr>
          <w:rFonts w:hint="eastAsia" w:ascii="仿宋_GB2312" w:hAnsi="仿宋_GB2312" w:eastAsia="仿宋_GB2312" w:cs="仿宋_GB2312"/>
          <w:sz w:val="28"/>
          <w:szCs w:val="28"/>
        </w:rPr>
        <w:t>建设</w:t>
      </w:r>
      <w:r>
        <w:rPr>
          <w:rFonts w:hint="eastAsia" w:ascii="仿宋_GB2312" w:hAnsi="仿宋_GB2312" w:eastAsia="仿宋_GB2312" w:cs="仿宋_GB2312"/>
          <w:sz w:val="28"/>
          <w:szCs w:val="28"/>
          <w:lang w:eastAsia="zh-CN"/>
        </w:rPr>
        <w:t>了</w:t>
      </w:r>
      <w:r>
        <w:rPr>
          <w:rFonts w:hint="eastAsia" w:ascii="仿宋_GB2312" w:hAnsi="仿宋_GB2312" w:eastAsia="仿宋_GB2312" w:cs="仿宋_GB2312"/>
          <w:sz w:val="28"/>
          <w:szCs w:val="28"/>
        </w:rPr>
        <w:t>产教融合型校内医院，承担师生临床教学任务同时承担社会诊疗、司法鉴定、健康服务、健康教育等服务。师生团队常年承担企业实践、社区义诊、心理干预、口腔健康、窝沟封闭、急救培训、文明礼仪等社会实践活动。承担教育部教育帮扶云南怒江、西藏昌都、青海海北，助力健康教育。坚持医教协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育训结合，作为全国“标准化病人”实践教学基地，承担“X”证书、技能鉴定、急救等社会培训。学校</w:t>
      </w:r>
      <w:r>
        <w:rPr>
          <w:rFonts w:hint="eastAsia" w:ascii="仿宋_GB2312" w:hAnsi="仿宋_GB2312" w:eastAsia="仿宋_GB2312" w:cs="仿宋_GB2312"/>
          <w:sz w:val="28"/>
          <w:szCs w:val="28"/>
          <w:lang w:val="en-US" w:eastAsia="zh-CN"/>
        </w:rPr>
        <w:t>成立了中国南丁格尔志愿护理服务总队山东省莱阳卫生学校志愿护理服务队，获</w:t>
      </w:r>
      <w:r>
        <w:rPr>
          <w:rFonts w:hint="eastAsia" w:ascii="仿宋_GB2312" w:hAnsi="仿宋_GB2312" w:eastAsia="仿宋_GB2312" w:cs="仿宋_GB2312"/>
          <w:sz w:val="28"/>
          <w:szCs w:val="28"/>
        </w:rPr>
        <w:t>省市级“最佳志愿服务组织”、</w:t>
      </w:r>
      <w:r>
        <w:rPr>
          <w:rFonts w:hint="eastAsia" w:ascii="仿宋_GB2312" w:hAnsi="仿宋_GB2312" w:eastAsia="仿宋_GB2312" w:cs="仿宋_GB2312"/>
          <w:sz w:val="28"/>
          <w:szCs w:val="28"/>
          <w:lang w:val="en-US" w:eastAsia="zh-CN"/>
        </w:rPr>
        <w:t>烟台市</w:t>
      </w:r>
      <w:r>
        <w:rPr>
          <w:rFonts w:hint="eastAsia" w:ascii="仿宋_GB2312" w:hAnsi="仿宋_GB2312" w:eastAsia="仿宋_GB2312" w:cs="仿宋_GB2312"/>
          <w:sz w:val="28"/>
          <w:szCs w:val="28"/>
        </w:rPr>
        <w:t>五四红旗团委。</w:t>
      </w:r>
    </w:p>
    <w:p>
      <w:pPr>
        <w:keepNext w:val="0"/>
        <w:keepLines w:val="0"/>
        <w:pageBreakBefore w:val="0"/>
        <w:widowControl w:val="0"/>
        <w:kinsoku/>
        <w:wordWrap/>
        <w:overflowPunct/>
        <w:topLinePunct w:val="0"/>
        <w:autoSpaceDE/>
        <w:autoSpaceDN/>
        <w:bidi w:val="0"/>
        <w:adjustRightInd/>
        <w:snapToGrid/>
        <w:spacing w:before="157" w:beforeLines="50" w:after="313" w:afterLines="100" w:line="240" w:lineRule="auto"/>
        <w:ind w:firstLine="562" w:firstLineChars="200"/>
        <w:jc w:val="left"/>
        <w:textAlignment w:val="auto"/>
        <w:outlineLvl w:val="0"/>
        <w:rPr>
          <w:rFonts w:hint="eastAsia" w:ascii="仿宋_GB2312" w:hAnsi="仿宋_GB2312" w:eastAsia="仿宋_GB2312" w:cs="仿宋_GB2312"/>
          <w:sz w:val="28"/>
          <w:szCs w:val="28"/>
          <w:lang w:eastAsia="zh-CN"/>
        </w:rPr>
      </w:pPr>
      <w:r>
        <w:rPr>
          <w:rFonts w:hint="eastAsia" w:ascii="仿宋_GB2312" w:hAnsi="仿宋_GB2312" w:eastAsia="仿宋_GB2312" w:cs="仿宋_GB2312"/>
          <w:b/>
          <w:bCs/>
          <w:color w:val="A20000"/>
          <w:sz w:val="28"/>
          <w:szCs w:val="28"/>
          <w:lang w:val="en-US" w:eastAsia="zh-CN"/>
        </w:rPr>
        <w:t>本报告</w:t>
      </w:r>
      <w:r>
        <w:rPr>
          <w:rFonts w:hint="eastAsia" w:ascii="仿宋_GB2312" w:hAnsi="仿宋_GB2312" w:eastAsia="仿宋_GB2312" w:cs="仿宋_GB2312"/>
          <w:sz w:val="28"/>
          <w:szCs w:val="28"/>
          <w:lang w:val="en-US" w:eastAsia="zh-CN"/>
        </w:rPr>
        <w:t>根据教育部职业教育与成人教育司《关于做好中国职业教育质量报告（2023年度）编制、发布和报送工作的通知》精神，按照山东省和烟台市教育主管部门的具体要求，在分析人才培养计分卡、满意度调查表、教育教学表、国际影响表、服务贡献表和落实政策表等六张质量数据表相关数据的基础上，</w:t>
      </w:r>
      <w:r>
        <w:rPr>
          <w:rFonts w:hint="eastAsia" w:ascii="仿宋_GB2312" w:hAnsi="仿宋_GB2312" w:eastAsia="仿宋_GB2312" w:cs="仿宋_GB2312"/>
          <w:sz w:val="28"/>
          <w:szCs w:val="28"/>
        </w:rPr>
        <w:t>从人才培养、服务贡献、文化传承、国际合作、产教融合、发展保障等</w:t>
      </w:r>
      <w:r>
        <w:rPr>
          <w:rFonts w:hint="eastAsia" w:ascii="仿宋_GB2312" w:hAnsi="仿宋_GB2312" w:eastAsia="仿宋_GB2312" w:cs="仿宋_GB2312"/>
          <w:sz w:val="28"/>
          <w:szCs w:val="28"/>
          <w:lang w:val="en-US" w:eastAsia="zh-CN"/>
        </w:rPr>
        <w:t>六</w:t>
      </w:r>
      <w:r>
        <w:rPr>
          <w:rFonts w:hint="eastAsia" w:ascii="仿宋_GB2312" w:hAnsi="仿宋_GB2312" w:eastAsia="仿宋_GB2312" w:cs="仿宋_GB2312"/>
          <w:sz w:val="28"/>
          <w:szCs w:val="28"/>
        </w:rPr>
        <w:t>个方面，</w:t>
      </w:r>
      <w:r>
        <w:rPr>
          <w:rFonts w:hint="eastAsia" w:ascii="仿宋_GB2312" w:hAnsi="仿宋_GB2312" w:eastAsia="仿宋_GB2312" w:cs="仿宋_GB2312"/>
          <w:sz w:val="28"/>
          <w:szCs w:val="28"/>
          <w:lang w:val="en-US" w:eastAsia="zh-CN"/>
        </w:rPr>
        <w:t>全面总结学校2023年办学成绩与人才培养成效，并针对学校现阶段面临的</w:t>
      </w:r>
      <w:r>
        <w:rPr>
          <w:rFonts w:hint="eastAsia" w:ascii="仿宋_GB2312" w:hAnsi="仿宋_GB2312" w:eastAsia="仿宋_GB2312" w:cs="仿宋_GB2312"/>
          <w:sz w:val="28"/>
          <w:szCs w:val="28"/>
        </w:rPr>
        <w:t>挑战</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提出应对策略</w:t>
      </w:r>
      <w:r>
        <w:rPr>
          <w:rFonts w:hint="eastAsia" w:ascii="仿宋_GB2312" w:hAnsi="仿宋_GB2312" w:eastAsia="仿宋_GB2312" w:cs="仿宋_GB2312"/>
          <w:sz w:val="28"/>
          <w:szCs w:val="28"/>
          <w:lang w:eastAsia="zh-CN"/>
        </w:rPr>
        <w:t>。</w:t>
      </w:r>
    </w:p>
    <w:p>
      <w:pPr>
        <w:pStyle w:val="12"/>
        <w:tabs>
          <w:tab w:val="right" w:leader="dot" w:pos="8306"/>
        </w:tabs>
        <w:jc w:val="center"/>
        <w:rPr>
          <w:rFonts w:hint="eastAsia" w:ascii="宋体" w:hAnsi="宋体" w:eastAsia="宋体" w:cs="宋体"/>
          <w:b/>
          <w:color w:val="4874CB" w:themeColor="accent1"/>
          <w:sz w:val="32"/>
          <w:szCs w:val="32"/>
          <w14:textFill>
            <w14:solidFill>
              <w14:schemeClr w14:val="accent1"/>
            </w14:solidFill>
          </w14:textFill>
        </w:rPr>
      </w:pPr>
    </w:p>
    <w:p>
      <w:pPr>
        <w:pStyle w:val="12"/>
        <w:tabs>
          <w:tab w:val="right" w:leader="dot" w:pos="8306"/>
        </w:tabs>
        <w:jc w:val="center"/>
        <w:rPr>
          <w:rFonts w:ascii="宋体" w:hAnsi="宋体" w:eastAsia="宋体" w:cs="宋体"/>
          <w:b/>
          <w:color w:val="4874CB" w:themeColor="accent1"/>
          <w:sz w:val="32"/>
          <w:szCs w:val="32"/>
          <w14:textFill>
            <w14:solidFill>
              <w14:schemeClr w14:val="accent1"/>
            </w14:solidFill>
          </w14:textFill>
        </w:rPr>
      </w:pPr>
      <w:r>
        <w:rPr>
          <w:rFonts w:hint="eastAsia" w:ascii="宋体" w:hAnsi="宋体" w:eastAsia="宋体" w:cs="宋体"/>
          <w:b/>
          <w:color w:val="auto"/>
          <w:sz w:val="32"/>
          <w:szCs w:val="32"/>
        </w:rPr>
        <w:t>目</w:t>
      </w:r>
      <w:r>
        <w:rPr>
          <w:rFonts w:hint="eastAsia" w:ascii="宋体" w:hAnsi="宋体" w:eastAsia="宋体" w:cs="宋体"/>
          <w:b/>
          <w:color w:val="auto"/>
          <w:sz w:val="32"/>
          <w:szCs w:val="32"/>
          <w:lang w:val="en-US" w:eastAsia="zh-CN"/>
        </w:rPr>
        <w:t xml:space="preserve"> </w:t>
      </w:r>
      <w:r>
        <w:rPr>
          <w:rFonts w:hint="eastAsia" w:ascii="宋体" w:hAnsi="宋体" w:eastAsia="宋体" w:cs="宋体"/>
          <w:b/>
          <w:color w:val="auto"/>
          <w:sz w:val="32"/>
          <w:szCs w:val="32"/>
        </w:rPr>
        <w:t>录</w:t>
      </w:r>
    </w:p>
    <w:p>
      <w:pPr>
        <w:pStyle w:val="12"/>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fldChar w:fldCharType="begin"/>
      </w:r>
      <w:r>
        <w:rPr>
          <w:rFonts w:hint="eastAsia" w:ascii="宋体" w:hAnsi="宋体" w:eastAsia="宋体" w:cs="宋体"/>
          <w:b/>
          <w:color w:val="000000" w:themeColor="text1"/>
          <w:sz w:val="24"/>
          <w:szCs w:val="24"/>
          <w14:textFill>
            <w14:solidFill>
              <w14:schemeClr w14:val="tx1"/>
            </w14:solidFill>
          </w14:textFill>
        </w:rPr>
        <w:instrText xml:space="preserve">TOC \o "1-3" \h \u </w:instrText>
      </w:r>
      <w:r>
        <w:rPr>
          <w:rFonts w:hint="eastAsia" w:ascii="宋体" w:hAnsi="宋体" w:eastAsia="宋体" w:cs="宋体"/>
          <w:b/>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_Toc31815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1.人才培养</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_Toc31815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5"/>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_Toc28299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立德树人</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_Toc28299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5"/>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_Toc6468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专业</w:t>
      </w:r>
      <w:r>
        <w:rPr>
          <w:rFonts w:hint="eastAsia" w:ascii="宋体" w:hAnsi="宋体" w:eastAsia="宋体" w:cs="宋体"/>
          <w:color w:val="000000" w:themeColor="text1"/>
          <w:sz w:val="24"/>
          <w:szCs w:val="24"/>
          <w:lang w:val="en-US" w:eastAsia="zh-CN"/>
          <w14:textFill>
            <w14:solidFill>
              <w14:schemeClr w14:val="tx1"/>
            </w14:solidFill>
          </w14:textFill>
        </w:rPr>
        <w:t>育人</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_Toc6468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5"/>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_Toc16060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课程</w:t>
      </w:r>
      <w:r>
        <w:rPr>
          <w:rFonts w:hint="eastAsia" w:ascii="宋体" w:hAnsi="宋体" w:eastAsia="宋体" w:cs="宋体"/>
          <w:color w:val="000000" w:themeColor="text1"/>
          <w:sz w:val="24"/>
          <w:szCs w:val="24"/>
          <w:lang w:val="en-US" w:eastAsia="zh-CN"/>
          <w14:textFill>
            <w14:solidFill>
              <w14:schemeClr w14:val="tx1"/>
            </w14:solidFill>
          </w14:textFill>
        </w:rPr>
        <w:t>育人</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_Toc16060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5"/>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_Toc7902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技能大赛</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_Toc7902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13</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_Toc2183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2. 服务贡献</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_Toc2183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26</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5"/>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_Toc31313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2.1服务行业企业</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_Toc31313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26</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5"/>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_Toc29142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2.2服务地方发展</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_Toc29142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27</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5"/>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_Toc22799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2.3服务乡村振兴</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_Toc22799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27</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5"/>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_Toc23736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2.4服务地方社区</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_Toc23736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27</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5"/>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_Toc32174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2.5具有地域特色的服务</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_Toc32174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28</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5"/>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_Toc20267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2.6具有本校特色的服务</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_Toc20267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29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_Toc21766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3. 文化传承</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_Toc21766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30</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5"/>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_Toc20013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lang w:val="en-US" w:eastAsia="zh-CN"/>
          <w14:textFill>
            <w14:solidFill>
              <w14:schemeClr w14:val="tx1"/>
            </w14:solidFill>
          </w14:textFill>
        </w:rPr>
        <w:t>3.1传承中华经典文化</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_Toc20013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30</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5"/>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_Toc5504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lang w:val="en-US" w:eastAsia="zh-CN"/>
          <w14:textFill>
            <w14:solidFill>
              <w14:schemeClr w14:val="tx1"/>
            </w14:solidFill>
          </w14:textFill>
        </w:rPr>
        <w:t>3.2非遗技艺技能</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_Toc5504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32</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_Toc28256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4.国际合作</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_Toc28256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35</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5"/>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_Toc16809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lang w:val="en-US" w:eastAsia="zh-CN"/>
          <w14:textFill>
            <w14:solidFill>
              <w14:schemeClr w14:val="tx1"/>
            </w14:solidFill>
          </w14:textFill>
        </w:rPr>
        <w:t>4.1交流平台</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_Toc16809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35</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5"/>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_Toc11971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lang w:val="en-US" w:eastAsia="zh-CN"/>
          <w14:textFill>
            <w14:solidFill>
              <w14:schemeClr w14:val="tx1"/>
            </w14:solidFill>
          </w14:textFill>
        </w:rPr>
        <w:t>4.2交流方式</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_Toc11971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39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5"/>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_Toc28800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lang w:val="en-US" w:eastAsia="zh-CN"/>
          <w14:textFill>
            <w14:solidFill>
              <w14:schemeClr w14:val="tx1"/>
            </w14:solidFill>
          </w14:textFill>
        </w:rPr>
        <w:t>4.3职业教育走出去</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_Toc28800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42</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_Toc5719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产教融合</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_Toc5719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42</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5"/>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_Toc4382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5.1</w:t>
      </w:r>
      <w:r>
        <w:rPr>
          <w:rFonts w:hint="eastAsia" w:ascii="宋体" w:hAnsi="宋体" w:eastAsia="宋体" w:cs="宋体"/>
          <w:color w:val="000000" w:themeColor="text1"/>
          <w:sz w:val="24"/>
          <w:szCs w:val="24"/>
          <w:lang w:val="en-US" w:eastAsia="zh-CN"/>
          <w14:textFill>
            <w14:solidFill>
              <w14:schemeClr w14:val="tx1"/>
            </w14:solidFill>
          </w14:textFill>
        </w:rPr>
        <w:t>构建医教协同育人机制</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_Toc4382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43</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5"/>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_Toc5018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5.2</w:t>
      </w:r>
      <w:r>
        <w:rPr>
          <w:rFonts w:hint="eastAsia" w:ascii="宋体" w:hAnsi="宋体" w:eastAsia="宋体" w:cs="宋体"/>
          <w:color w:val="000000" w:themeColor="text1"/>
          <w:sz w:val="24"/>
          <w:szCs w:val="24"/>
          <w:lang w:val="en-US" w:eastAsia="zh-CN"/>
          <w14:textFill>
            <w14:solidFill>
              <w14:schemeClr w14:val="tx1"/>
            </w14:solidFill>
          </w14:textFill>
        </w:rPr>
        <w:t>联盟集团推动校企深度融合</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_Toc5018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44</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5"/>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_Toc19617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5.3</w:t>
      </w:r>
      <w:r>
        <w:rPr>
          <w:rFonts w:hint="eastAsia" w:ascii="宋体" w:hAnsi="宋体" w:eastAsia="宋体" w:cs="宋体"/>
          <w:color w:val="000000" w:themeColor="text1"/>
          <w:sz w:val="24"/>
          <w:szCs w:val="24"/>
          <w:lang w:val="en-US" w:eastAsia="zh-CN"/>
          <w14:textFill>
            <w14:solidFill>
              <w14:schemeClr w14:val="tx1"/>
            </w14:solidFill>
          </w14:textFill>
        </w:rPr>
        <w:t>校企合作共育专业人才</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_Toc19617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44</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5"/>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_Toc21832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5.4</w:t>
      </w:r>
      <w:r>
        <w:rPr>
          <w:rFonts w:hint="eastAsia" w:ascii="宋体" w:hAnsi="宋体" w:eastAsia="宋体" w:cs="宋体"/>
          <w:color w:val="000000" w:themeColor="text1"/>
          <w:sz w:val="24"/>
          <w:szCs w:val="24"/>
          <w:lang w:val="en-US" w:eastAsia="zh-CN"/>
          <w14:textFill>
            <w14:solidFill>
              <w14:schemeClr w14:val="tx1"/>
            </w14:solidFill>
          </w14:textFill>
        </w:rPr>
        <w:t>打造学校医院产教融合中心</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_Toc21832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46</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_Toc141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6. 发展保障</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_Toc141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46</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5"/>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_Toc19909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.1党建引领</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_Toc19909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46</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5"/>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_Toc23796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落实国家职业教育政策</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_Toc23796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49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5"/>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_Toc24339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质量保障体系建设</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_Toc24339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50</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5"/>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_Toc19751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lang w:val="en-US" w:eastAsia="zh-CN"/>
          <w14:textFill>
            <w14:solidFill>
              <w14:schemeClr w14:val="tx1"/>
            </w14:solidFill>
          </w14:textFill>
        </w:rPr>
        <w:t>4队伍保障</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_Toc19751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52</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_Toc23366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7.面临挑战</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_Toc23366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59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2"/>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_Toc18120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kern w:val="2"/>
          <w:sz w:val="24"/>
          <w:szCs w:val="24"/>
          <w:lang w:val="en-US" w:eastAsia="zh-CN" w:bidi="ar-SA"/>
          <w14:textFill>
            <w14:solidFill>
              <w14:schemeClr w14:val="tx1"/>
            </w14:solidFill>
          </w14:textFill>
        </w:rPr>
        <w:t>附表: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_Toc18120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60</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5"/>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_Toc9684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表1 人才培养质量计分卡</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_Toc9684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61</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5"/>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_Toc25657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表3 教学资源表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_Toc25657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62</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5"/>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_Toc31253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表4 服务贡献表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_Toc31253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64</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5"/>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_Toc24760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表5 国际影响表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_Toc24760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65</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pStyle w:val="15"/>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\l _Toc19863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表6 落实政策表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_Toc19863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66</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z w:val="24"/>
          <w:szCs w:val="24"/>
          <w14:textFill>
            <w14:solidFill>
              <w14:schemeClr w14:val="tx1"/>
            </w14:solidFill>
          </w14:textFill>
        </w:rPr>
        <w:fldChar w:fldCharType="end"/>
      </w:r>
    </w:p>
    <w:p>
      <w:pPr>
        <w:keepNext w:val="0"/>
        <w:keepLines w:val="0"/>
        <w:pageBreakBefore w:val="0"/>
        <w:widowControl w:val="0"/>
        <w:kinsoku/>
        <w:wordWrap/>
        <w:overflowPunct/>
        <w:topLinePunct w:val="0"/>
        <w:autoSpaceDE/>
        <w:autoSpaceDN/>
        <w:bidi w:val="0"/>
        <w:adjustRightInd/>
        <w:snapToGrid/>
        <w:spacing w:before="95" w:beforeLines="30" w:after="95" w:afterLines="30" w:line="360" w:lineRule="exact"/>
        <w:ind w:firstLine="0"/>
        <w:jc w:val="center"/>
        <w:textAlignment w:val="auto"/>
        <w:rPr>
          <w:rFonts w:ascii="宋体" w:hAnsi="宋体" w:eastAsia="宋体" w:cs="宋体"/>
          <w:szCs w:val="32"/>
        </w:rPr>
      </w:pPr>
      <w:r>
        <w:rPr>
          <w:rFonts w:hint="eastAsia" w:ascii="宋体" w:hAnsi="宋体" w:eastAsia="宋体" w:cs="宋体"/>
          <w:color w:val="000000" w:themeColor="text1"/>
          <w:sz w:val="24"/>
          <w:szCs w:val="24"/>
          <w14:textFill>
            <w14:solidFill>
              <w14:schemeClr w14:val="tx1"/>
            </w14:solidFill>
          </w14:textFill>
        </w:rPr>
        <w:fldChar w:fldCharType="end"/>
      </w:r>
    </w:p>
    <w:p>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Fonts w:hint="eastAsia" w:ascii="宋体" w:hAnsi="宋体" w:eastAsia="宋体" w:cs="宋体"/>
          <w:color w:val="4874CB" w:themeColor="accent1"/>
          <w14:textFill>
            <w14:solidFill>
              <w14:schemeClr w14:val="accent1"/>
            </w14:solidFill>
          </w14:textFill>
        </w:rPr>
      </w:pPr>
      <w:r>
        <w:rPr>
          <w:rFonts w:ascii="宋体" w:hAnsi="宋体" w:eastAsia="宋体" w:cs="宋体"/>
          <w:szCs w:val="32"/>
        </w:rPr>
        <w:br w:type="page"/>
      </w:r>
      <w:r>
        <w:rPr>
          <w:rFonts w:hint="eastAsia" w:ascii="宋体" w:hAnsi="宋体" w:eastAsia="宋体" w:cs="宋体"/>
          <w:b/>
          <w:color w:val="auto"/>
          <w:sz w:val="32"/>
          <w:szCs w:val="32"/>
          <w:lang w:val="en-US" w:eastAsia="zh-CN"/>
        </w:rPr>
        <w:t>表</w:t>
      </w:r>
      <w:r>
        <w:rPr>
          <w:rFonts w:hint="eastAsia" w:ascii="宋体" w:hAnsi="宋体" w:eastAsia="宋体" w:cs="宋体"/>
          <w:b/>
          <w:color w:val="auto"/>
          <w:sz w:val="32"/>
          <w:szCs w:val="32"/>
        </w:rPr>
        <w:t>目录</w:t>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_Toc7216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lang w:val="en-US" w:eastAsia="zh-CN"/>
        </w:rPr>
        <w:t xml:space="preserve">表 </w:t>
      </w:r>
      <w:r>
        <w:rPr>
          <w:rFonts w:hint="eastAsia" w:ascii="宋体" w:hAnsi="宋体" w:eastAsia="宋体" w:cs="宋体"/>
          <w:color w:val="auto"/>
          <w:sz w:val="24"/>
          <w:szCs w:val="24"/>
        </w:rPr>
        <w:t xml:space="preserve">1 </w:t>
      </w:r>
      <w:r>
        <w:rPr>
          <w:rFonts w:hint="eastAsia" w:ascii="宋体" w:hAnsi="宋体" w:eastAsia="宋体" w:cs="宋体"/>
          <w:color w:val="auto"/>
          <w:sz w:val="24"/>
          <w:szCs w:val="24"/>
          <w:lang w:val="en-US" w:eastAsia="zh-CN"/>
        </w:rPr>
        <w:t xml:space="preserve"> 山东省莱阳卫生学校各专业在校生人数一览表（单位：人）</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_Toc7216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9</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_Toc4448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lang w:val="en-US" w:eastAsia="zh-CN"/>
        </w:rPr>
        <w:t xml:space="preserve">表 </w:t>
      </w:r>
      <w:r>
        <w:rPr>
          <w:rFonts w:hint="eastAsia" w:ascii="宋体" w:hAnsi="宋体" w:eastAsia="宋体" w:cs="宋体"/>
          <w:color w:val="auto"/>
          <w:sz w:val="24"/>
          <w:szCs w:val="24"/>
        </w:rPr>
        <w:t xml:space="preserve">2 </w:t>
      </w:r>
      <w:r>
        <w:rPr>
          <w:rFonts w:hint="eastAsia" w:ascii="宋体" w:hAnsi="宋体" w:eastAsia="宋体" w:cs="宋体"/>
          <w:color w:val="auto"/>
          <w:sz w:val="24"/>
          <w:szCs w:val="24"/>
          <w:lang w:val="en-US" w:eastAsia="zh-CN"/>
        </w:rPr>
        <w:t xml:space="preserve"> 山东省莱阳卫生学校课程门数、学时统计表</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_Toc4448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14</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_Toc26598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lang w:val="en-US" w:eastAsia="zh-CN"/>
        </w:rPr>
        <w:t xml:space="preserve">表 </w:t>
      </w:r>
      <w:r>
        <w:rPr>
          <w:rFonts w:hint="eastAsia" w:ascii="宋体" w:hAnsi="宋体" w:eastAsia="宋体" w:cs="宋体"/>
          <w:color w:val="auto"/>
          <w:sz w:val="24"/>
          <w:szCs w:val="24"/>
        </w:rPr>
        <w:t xml:space="preserve">3 </w:t>
      </w:r>
      <w:r>
        <w:rPr>
          <w:rFonts w:hint="eastAsia" w:ascii="宋体" w:hAnsi="宋体" w:eastAsia="宋体" w:cs="宋体"/>
          <w:color w:val="auto"/>
          <w:sz w:val="24"/>
          <w:szCs w:val="24"/>
          <w:lang w:val="en-US" w:eastAsia="zh-CN"/>
        </w:rPr>
        <w:t xml:space="preserve"> 学校2022-2023学年教师省级以上比赛获奖情况一览表</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_Toc26598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18</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_Toc2484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lang w:val="en-US" w:eastAsia="zh-CN"/>
        </w:rPr>
        <w:t xml:space="preserve">表 </w:t>
      </w:r>
      <w:r>
        <w:rPr>
          <w:rFonts w:hint="eastAsia" w:ascii="宋体" w:hAnsi="宋体" w:eastAsia="宋体" w:cs="宋体"/>
          <w:color w:val="auto"/>
          <w:sz w:val="24"/>
          <w:szCs w:val="24"/>
        </w:rPr>
        <w:t xml:space="preserve">4 </w:t>
      </w:r>
      <w:r>
        <w:rPr>
          <w:rFonts w:hint="eastAsia" w:ascii="宋体" w:hAnsi="宋体" w:eastAsia="宋体" w:cs="宋体"/>
          <w:color w:val="auto"/>
          <w:sz w:val="24"/>
          <w:szCs w:val="24"/>
          <w:lang w:val="en-US" w:eastAsia="zh-CN"/>
        </w:rPr>
        <w:t xml:space="preserve"> 2023年山东省莱阳卫生学校学生技能大赛获奖情况一览表</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_Toc2484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20</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_Toc11882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lang w:val="en-US" w:eastAsia="zh-CN"/>
        </w:rPr>
        <w:t xml:space="preserve">表 </w:t>
      </w:r>
      <w:r>
        <w:rPr>
          <w:rFonts w:hint="eastAsia" w:ascii="宋体" w:hAnsi="宋体" w:eastAsia="宋体" w:cs="宋体"/>
          <w:color w:val="auto"/>
          <w:sz w:val="24"/>
          <w:szCs w:val="24"/>
        </w:rPr>
        <w:t xml:space="preserve">5 </w:t>
      </w:r>
      <w:r>
        <w:rPr>
          <w:rFonts w:hint="eastAsia" w:ascii="宋体" w:hAnsi="宋体" w:eastAsia="宋体" w:cs="宋体"/>
          <w:color w:val="auto"/>
          <w:sz w:val="24"/>
          <w:szCs w:val="24"/>
          <w:lang w:val="en-US" w:eastAsia="zh-CN"/>
        </w:rPr>
        <w:t xml:space="preserve"> 学校护理专业近十年全国职业院校护理技能竞赛获奖情况一览表</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_Toc11882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22</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_Toc22860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lang w:val="en-US" w:eastAsia="zh-CN"/>
        </w:rPr>
        <w:t xml:space="preserve">表 </w:t>
      </w:r>
      <w:r>
        <w:rPr>
          <w:rFonts w:hint="eastAsia" w:ascii="宋体" w:hAnsi="宋体" w:eastAsia="宋体" w:cs="宋体"/>
          <w:color w:val="auto"/>
          <w:sz w:val="24"/>
          <w:szCs w:val="24"/>
        </w:rPr>
        <w:t xml:space="preserve">6 </w:t>
      </w:r>
      <w:r>
        <w:rPr>
          <w:rFonts w:hint="eastAsia" w:ascii="宋体" w:hAnsi="宋体" w:eastAsia="宋体" w:cs="宋体"/>
          <w:color w:val="auto"/>
          <w:sz w:val="24"/>
          <w:szCs w:val="24"/>
          <w:lang w:val="en-US" w:eastAsia="zh-CN"/>
        </w:rPr>
        <w:t xml:space="preserve"> 2022-2023学年教师参加学术经验交流等情况一览表</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_Toc22860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57</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宋体" w:hAnsi="宋体" w:eastAsia="宋体" w:cs="宋体"/>
          <w:color w:val="0070C0"/>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\l _Toc19482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lang w:val="en-US" w:eastAsia="zh-CN"/>
        </w:rPr>
        <w:t xml:space="preserve">表 </w:t>
      </w:r>
      <w:r>
        <w:rPr>
          <w:rFonts w:hint="eastAsia" w:ascii="宋体" w:hAnsi="宋体" w:eastAsia="宋体" w:cs="宋体"/>
          <w:color w:val="auto"/>
          <w:sz w:val="24"/>
          <w:szCs w:val="24"/>
        </w:rPr>
        <w:t xml:space="preserve">7 </w:t>
      </w:r>
      <w:r>
        <w:rPr>
          <w:rFonts w:hint="eastAsia" w:ascii="宋体" w:hAnsi="宋体" w:eastAsia="宋体" w:cs="宋体"/>
          <w:color w:val="auto"/>
          <w:sz w:val="24"/>
          <w:szCs w:val="24"/>
          <w:lang w:val="en-US" w:eastAsia="zh-CN"/>
        </w:rPr>
        <w:t xml:space="preserve"> 2022-2023学年教科研情况一览表</w:t>
      </w:r>
      <w:r>
        <w:rPr>
          <w:rFonts w:hint="eastAsia" w:ascii="宋体" w:hAnsi="宋体" w:eastAsia="宋体" w:cs="宋体"/>
          <w:color w:val="auto"/>
          <w:sz w:val="24"/>
          <w:szCs w:val="24"/>
        </w:rPr>
        <w:tab/>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PAGEREF _Toc19482 \h </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t>58</w:t>
      </w:r>
      <w:r>
        <w:rPr>
          <w:rFonts w:hint="eastAsia" w:ascii="宋体" w:hAnsi="宋体" w:eastAsia="宋体" w:cs="宋体"/>
          <w:color w:val="auto"/>
          <w:sz w:val="24"/>
          <w:szCs w:val="24"/>
        </w:rPr>
        <w:fldChar w:fldCharType="end"/>
      </w:r>
      <w:r>
        <w:rPr>
          <w:rFonts w:hint="eastAsia" w:ascii="宋体" w:hAnsi="宋体" w:eastAsia="宋体" w:cs="宋体"/>
          <w:color w:val="auto"/>
          <w:sz w:val="24"/>
          <w:szCs w:val="24"/>
        </w:rPr>
        <w:fldChar w:fldCharType="end"/>
      </w:r>
    </w:p>
    <w:p>
      <w:pPr>
        <w:keepNext w:val="0"/>
        <w:keepLines w:val="0"/>
        <w:pageBreakBefore w:val="0"/>
        <w:widowControl w:val="0"/>
        <w:tabs>
          <w:tab w:val="right" w:leader="dot" w:pos="8306"/>
        </w:tabs>
        <w:kinsoku/>
        <w:wordWrap/>
        <w:overflowPunct/>
        <w:topLinePunct w:val="0"/>
        <w:autoSpaceDE/>
        <w:autoSpaceDN/>
        <w:bidi w:val="0"/>
        <w:adjustRightInd/>
        <w:snapToGrid/>
        <w:spacing w:after="313" w:afterLines="100" w:line="400" w:lineRule="exact"/>
        <w:ind w:left="0" w:leftChars="0" w:firstLine="641" w:firstLineChars="0"/>
        <w:jc w:val="center"/>
        <w:textAlignment w:val="auto"/>
        <w:rPr>
          <w:rFonts w:hint="eastAsia" w:ascii="宋体" w:hAnsi="宋体" w:eastAsia="宋体" w:cs="宋体"/>
          <w:b/>
          <w:color w:val="4874CB" w:themeColor="accent1"/>
          <w:sz w:val="32"/>
          <w:szCs w:val="32"/>
          <w:lang w:val="en-US" w:eastAsia="zh-CN"/>
          <w14:textFill>
            <w14:solidFill>
              <w14:schemeClr w14:val="accent1"/>
            </w14:solidFill>
          </w14:textFill>
        </w:rPr>
      </w:pPr>
      <w:r>
        <w:rPr>
          <w:rFonts w:ascii="宋体" w:hAnsi="宋体" w:eastAsia="宋体" w:cs="宋体"/>
          <w:szCs w:val="32"/>
        </w:rPr>
        <w:br w:type="page"/>
      </w:r>
      <w:r>
        <w:rPr>
          <w:rFonts w:hint="eastAsia" w:ascii="宋体" w:hAnsi="宋体" w:eastAsia="宋体" w:cs="宋体"/>
          <w:b/>
          <w:bCs w:val="0"/>
          <w:color w:val="auto"/>
          <w:sz w:val="32"/>
          <w:szCs w:val="32"/>
          <w:lang w:val="en-US" w:eastAsia="zh-CN"/>
        </w:rPr>
        <w:t>图目录</w:t>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auto"/>
          <w:sz w:val="24"/>
          <w:szCs w:val="24"/>
          <w:lang w:val="en-US" w:eastAsia="zh-CN"/>
        </w:rPr>
        <w:fldChar w:fldCharType="begin"/>
      </w:r>
      <w:r>
        <w:rPr>
          <w:rFonts w:hint="eastAsia" w:asciiTheme="minorEastAsia" w:hAnsiTheme="minorEastAsia" w:eastAsiaTheme="minorEastAsia" w:cstheme="minorEastAsia"/>
          <w:b/>
          <w:color w:val="auto"/>
          <w:sz w:val="24"/>
          <w:szCs w:val="24"/>
          <w:lang w:val="en-US" w:eastAsia="zh-CN"/>
        </w:rPr>
        <w:instrText xml:space="preserve">TOC \h \c "图"</w:instrText>
      </w:r>
      <w:r>
        <w:rPr>
          <w:rFonts w:hint="eastAsia" w:asciiTheme="minorEastAsia" w:hAnsiTheme="minorEastAsia" w:eastAsiaTheme="minorEastAsia" w:cstheme="minorEastAsia"/>
          <w:b/>
          <w:color w:val="auto"/>
          <w:sz w:val="24"/>
          <w:szCs w:val="24"/>
          <w:lang w:val="en-US" w:eastAsia="zh-CN"/>
        </w:rPr>
        <w:fldChar w:fldCharType="separate"/>
      </w: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_Toc29825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lang w:val="en-US" w:eastAsia="zh-CN"/>
        </w:rPr>
        <w:t xml:space="preserve">图 </w:t>
      </w:r>
      <w:r>
        <w:rPr>
          <w:rFonts w:hint="eastAsia" w:asciiTheme="minorEastAsia" w:hAnsiTheme="minorEastAsia" w:eastAsiaTheme="minorEastAsia" w:cstheme="minorEastAsia"/>
          <w:sz w:val="24"/>
          <w:szCs w:val="24"/>
        </w:rPr>
        <w:t xml:space="preserve">1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学校获2023年山东省中职学校心理健康教育工作先进单位</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_Toc29825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_Toc16365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lang w:val="en-US" w:eastAsia="zh-CN"/>
        </w:rPr>
        <w:t xml:space="preserve">图 </w:t>
      </w:r>
      <w:r>
        <w:rPr>
          <w:rFonts w:hint="eastAsia" w:asciiTheme="minorEastAsia" w:hAnsiTheme="minorEastAsia" w:eastAsiaTheme="minorEastAsia" w:cstheme="minorEastAsia"/>
          <w:sz w:val="24"/>
          <w:szCs w:val="24"/>
        </w:rPr>
        <w:t xml:space="preserve">2 </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val="en-US" w:eastAsia="zh-CN"/>
        </w:rPr>
        <w:t>学校2023年山东省中职学生礼仪风采大赛一等奖团队合影</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_Toc16365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_Toc20269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highlight w:val="none"/>
          <w:lang w:val="en-US" w:eastAsia="zh-CN"/>
        </w:rPr>
        <w:t xml:space="preserve">图 </w:t>
      </w:r>
      <w:r>
        <w:rPr>
          <w:rFonts w:hint="eastAsia" w:asciiTheme="minorEastAsia" w:hAnsiTheme="minorEastAsia" w:eastAsiaTheme="minorEastAsia" w:cstheme="minorEastAsia"/>
          <w:sz w:val="24"/>
          <w:szCs w:val="24"/>
        </w:rPr>
        <w:t xml:space="preserve">3 </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lang w:val="en-US" w:eastAsia="zh-CN"/>
        </w:rPr>
        <w:t>山东省莱阳卫生学校举办山东省检验技术专业教学指导方案论证会</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_Toc20269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_Toc15653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highlight w:val="none"/>
          <w:lang w:val="en-US" w:eastAsia="zh-CN"/>
        </w:rPr>
        <w:t xml:space="preserve">图 </w:t>
      </w:r>
      <w:r>
        <w:rPr>
          <w:rFonts w:hint="eastAsia" w:asciiTheme="minorEastAsia" w:hAnsiTheme="minorEastAsia" w:eastAsiaTheme="minorEastAsia" w:cstheme="minorEastAsia"/>
          <w:sz w:val="24"/>
          <w:szCs w:val="24"/>
        </w:rPr>
        <w:t xml:space="preserve">4 </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lang w:val="en-US" w:eastAsia="zh-CN"/>
        </w:rPr>
        <w:t>学生在全国第二届现场救护技能大赛中荣获团体一等奖</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_Toc15653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7</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_Toc8599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highlight w:val="none"/>
          <w:lang w:val="en-US" w:eastAsia="zh-CN"/>
        </w:rPr>
        <w:t xml:space="preserve">图 </w:t>
      </w:r>
      <w:r>
        <w:rPr>
          <w:rFonts w:hint="eastAsia" w:asciiTheme="minorEastAsia" w:hAnsiTheme="minorEastAsia" w:eastAsiaTheme="minorEastAsia" w:cstheme="minorEastAsia"/>
          <w:sz w:val="24"/>
          <w:szCs w:val="24"/>
        </w:rPr>
        <w:t xml:space="preserve">5 </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lang w:val="en-US" w:eastAsia="zh-CN"/>
        </w:rPr>
        <w:t xml:space="preserve">护理专业学生在全国护理大赛获团体一等奖  </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_Toc8599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_Toc18138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bCs/>
          <w:sz w:val="24"/>
          <w:szCs w:val="24"/>
          <w:highlight w:val="none"/>
          <w:lang w:val="en-US" w:eastAsia="zh-CN"/>
        </w:rPr>
        <w:t xml:space="preserve">图 </w:t>
      </w:r>
      <w:r>
        <w:rPr>
          <w:rFonts w:hint="eastAsia" w:asciiTheme="minorEastAsia" w:hAnsiTheme="minorEastAsia" w:eastAsiaTheme="minorEastAsia" w:cstheme="minorEastAsia"/>
          <w:sz w:val="24"/>
          <w:szCs w:val="24"/>
        </w:rPr>
        <w:t xml:space="preserve">6 </w:t>
      </w:r>
      <w:r>
        <w:rPr>
          <w:rFonts w:hint="eastAsia" w:asciiTheme="minorEastAsia" w:hAnsiTheme="minorEastAsia" w:eastAsiaTheme="minorEastAsia" w:cstheme="minorEastAsia"/>
          <w:bCs/>
          <w:sz w:val="24"/>
          <w:szCs w:val="24"/>
          <w:highlight w:val="none"/>
          <w:lang w:val="en-US" w:eastAsia="zh-CN"/>
        </w:rPr>
        <w:t xml:space="preserve"> </w:t>
      </w:r>
      <w:r>
        <w:rPr>
          <w:rFonts w:hint="eastAsia" w:asciiTheme="minorEastAsia" w:hAnsiTheme="minorEastAsia" w:cstheme="minorEastAsia"/>
          <w:bCs/>
          <w:sz w:val="24"/>
          <w:szCs w:val="24"/>
          <w:highlight w:val="none"/>
          <w:lang w:val="en-US" w:eastAsia="zh-CN"/>
        </w:rPr>
        <w:t xml:space="preserve"> </w:t>
      </w:r>
      <w:r>
        <w:rPr>
          <w:rFonts w:hint="eastAsia" w:asciiTheme="minorEastAsia" w:hAnsiTheme="minorEastAsia" w:eastAsiaTheme="minorEastAsia" w:cstheme="minorEastAsia"/>
          <w:bCs/>
          <w:sz w:val="24"/>
          <w:szCs w:val="24"/>
          <w:highlight w:val="none"/>
          <w:lang w:val="en-US" w:eastAsia="zh-CN"/>
        </w:rPr>
        <w:t>学校2023年课堂育人、公共基础课教学和专业课教学满意度</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_Toc18138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_Toc532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highlight w:val="none"/>
          <w:lang w:val="en-US" w:eastAsia="zh-CN"/>
        </w:rPr>
        <w:t xml:space="preserve">图 </w:t>
      </w:r>
      <w:r>
        <w:rPr>
          <w:rFonts w:hint="eastAsia" w:asciiTheme="minorEastAsia" w:hAnsiTheme="minorEastAsia" w:eastAsiaTheme="minorEastAsia" w:cstheme="minorEastAsia"/>
          <w:sz w:val="24"/>
          <w:szCs w:val="24"/>
        </w:rPr>
        <w:t xml:space="preserve">7 </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lang w:val="en-US" w:eastAsia="zh-CN"/>
        </w:rPr>
        <w:t>2022-2023年度教学能力比赛获奖情况与上一年度对比</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_Toc532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_Toc27201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highlight w:val="none"/>
          <w:lang w:val="en-US" w:eastAsia="zh-CN"/>
        </w:rPr>
        <w:t xml:space="preserve">图 </w:t>
      </w:r>
      <w:r>
        <w:rPr>
          <w:rFonts w:hint="eastAsia" w:asciiTheme="minorEastAsia" w:hAnsiTheme="minorEastAsia" w:eastAsiaTheme="minorEastAsia" w:cstheme="minorEastAsia"/>
          <w:sz w:val="24"/>
          <w:szCs w:val="24"/>
        </w:rPr>
        <w:t xml:space="preserve">8 </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lang w:val="en-US" w:eastAsia="zh-CN"/>
        </w:rPr>
        <w:t>2023年山东省职业院校教学能力大赛一等奖团队</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_Toc27201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_Toc19612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highlight w:val="none"/>
          <w:lang w:val="en-US" w:eastAsia="zh-CN"/>
        </w:rPr>
        <w:t xml:space="preserve">图 </w:t>
      </w:r>
      <w:r>
        <w:rPr>
          <w:rFonts w:hint="eastAsia" w:asciiTheme="minorEastAsia" w:hAnsiTheme="minorEastAsia" w:eastAsiaTheme="minorEastAsia" w:cstheme="minorEastAsia"/>
          <w:sz w:val="24"/>
          <w:szCs w:val="24"/>
        </w:rPr>
        <w:t xml:space="preserve">9 </w:t>
      </w:r>
      <w:r>
        <w:rPr>
          <w:rFonts w:hint="eastAsia" w:asciiTheme="minorEastAsia" w:hAnsiTheme="minorEastAsia" w:eastAsiaTheme="minorEastAsia" w:cstheme="minorEastAsia"/>
          <w:sz w:val="24"/>
          <w:szCs w:val="24"/>
          <w:highlight w:val="none"/>
          <w:lang w:val="en-US" w:eastAsia="zh-CN"/>
        </w:rPr>
        <w:t xml:space="preserve"> </w:t>
      </w:r>
      <w:r>
        <w:rPr>
          <w:rFonts w:hint="eastAsia" w:asciiTheme="minorEastAsia" w:hAnsi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lang w:val="en-US" w:eastAsia="zh-CN"/>
        </w:rPr>
        <w:t>2023“一带一路”暨金砖国家技能发展与技术创新大赛参赛团队</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_Toc19612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18</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_Toc28959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highlight w:val="none"/>
          <w:lang w:val="en-US" w:eastAsia="zh-CN"/>
        </w:rPr>
        <w:t xml:space="preserve">图 </w:t>
      </w:r>
      <w:r>
        <w:rPr>
          <w:rFonts w:hint="eastAsia" w:asciiTheme="minorEastAsia" w:hAnsiTheme="minorEastAsia" w:eastAsiaTheme="minorEastAsia" w:cstheme="minorEastAsia"/>
          <w:sz w:val="24"/>
          <w:szCs w:val="24"/>
        </w:rPr>
        <w:t xml:space="preserve">10 </w:t>
      </w:r>
      <w:r>
        <w:rPr>
          <w:rFonts w:hint="eastAsia" w:asciiTheme="minorEastAsia" w:hAnsiTheme="minorEastAsia" w:eastAsiaTheme="minorEastAsia" w:cstheme="minorEastAsia"/>
          <w:sz w:val="24"/>
          <w:szCs w:val="24"/>
          <w:highlight w:val="none"/>
          <w:lang w:val="en-US" w:eastAsia="zh-CN"/>
        </w:rPr>
        <w:t xml:space="preserve"> 其他院校师生到校进行护理技能大赛经验交流</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_Toc28959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_Toc6198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highlight w:val="none"/>
          <w:lang w:val="en-US" w:eastAsia="zh-CN"/>
        </w:rPr>
        <w:t xml:space="preserve">图 </w:t>
      </w:r>
      <w:r>
        <w:rPr>
          <w:rFonts w:hint="eastAsia" w:asciiTheme="minorEastAsia" w:hAnsiTheme="minorEastAsia" w:eastAsiaTheme="minorEastAsia" w:cstheme="minorEastAsia"/>
          <w:sz w:val="24"/>
          <w:szCs w:val="24"/>
        </w:rPr>
        <w:t xml:space="preserve">11 </w:t>
      </w:r>
      <w:r>
        <w:rPr>
          <w:rFonts w:hint="eastAsia" w:asciiTheme="minorEastAsia" w:hAnsiTheme="minorEastAsia" w:eastAsiaTheme="minorEastAsia" w:cstheme="minorEastAsia"/>
          <w:sz w:val="24"/>
          <w:szCs w:val="24"/>
          <w:highlight w:val="none"/>
          <w:lang w:val="en-US" w:eastAsia="zh-CN"/>
        </w:rPr>
        <w:t xml:space="preserve"> 2023年国赛团体一等奖（第11枚金牌）获奖选手孙海慧、卜佳慧</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_Toc6198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20</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_Toc8924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highlight w:val="none"/>
          <w:lang w:val="en-US" w:eastAsia="zh-CN"/>
        </w:rPr>
        <w:t xml:space="preserve">图 </w:t>
      </w:r>
      <w:r>
        <w:rPr>
          <w:rFonts w:hint="eastAsia" w:asciiTheme="minorEastAsia" w:hAnsiTheme="minorEastAsia" w:eastAsiaTheme="minorEastAsia" w:cstheme="minorEastAsia"/>
          <w:sz w:val="24"/>
          <w:szCs w:val="24"/>
        </w:rPr>
        <w:t xml:space="preserve">12 </w:t>
      </w:r>
      <w:r>
        <w:rPr>
          <w:rFonts w:hint="eastAsia" w:asciiTheme="minorEastAsia" w:hAnsiTheme="minorEastAsia" w:eastAsiaTheme="minorEastAsia" w:cstheme="minorEastAsia"/>
          <w:sz w:val="24"/>
          <w:szCs w:val="24"/>
          <w:highlight w:val="none"/>
          <w:lang w:val="en-US" w:eastAsia="zh-CN"/>
        </w:rPr>
        <w:t xml:space="preserve"> 近三年毕业生去向落实率</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_Toc8924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_Toc8369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highlight w:val="none"/>
          <w:lang w:val="en-US" w:eastAsia="zh-CN"/>
        </w:rPr>
        <w:t xml:space="preserve">图 </w:t>
      </w:r>
      <w:r>
        <w:rPr>
          <w:rFonts w:hint="eastAsia" w:asciiTheme="minorEastAsia" w:hAnsiTheme="minorEastAsia" w:eastAsiaTheme="minorEastAsia" w:cstheme="minorEastAsia"/>
          <w:sz w:val="24"/>
          <w:szCs w:val="24"/>
        </w:rPr>
        <w:t xml:space="preserve">13 </w:t>
      </w:r>
      <w:r>
        <w:rPr>
          <w:rFonts w:hint="eastAsia" w:asciiTheme="minorEastAsia" w:hAnsiTheme="minorEastAsia" w:eastAsiaTheme="minorEastAsia" w:cstheme="minorEastAsia"/>
          <w:sz w:val="24"/>
          <w:szCs w:val="24"/>
          <w:highlight w:val="none"/>
          <w:lang w:val="en-US" w:eastAsia="zh-CN"/>
        </w:rPr>
        <w:t xml:space="preserve"> 中药专业出国留学讲座</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_Toc8369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_Toc7128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highlight w:val="none"/>
          <w:lang w:val="en-US" w:eastAsia="zh-CN"/>
        </w:rPr>
        <w:t xml:space="preserve">图 </w:t>
      </w:r>
      <w:r>
        <w:rPr>
          <w:rFonts w:hint="eastAsia" w:asciiTheme="minorEastAsia" w:hAnsiTheme="minorEastAsia" w:eastAsiaTheme="minorEastAsia" w:cstheme="minorEastAsia"/>
          <w:sz w:val="24"/>
          <w:szCs w:val="24"/>
        </w:rPr>
        <w:t xml:space="preserve">14 </w:t>
      </w:r>
      <w:r>
        <w:rPr>
          <w:rFonts w:hint="eastAsia" w:asciiTheme="minorEastAsia" w:hAnsiTheme="minorEastAsia" w:eastAsiaTheme="minorEastAsia" w:cstheme="minorEastAsia"/>
          <w:sz w:val="24"/>
          <w:szCs w:val="24"/>
          <w:highlight w:val="none"/>
          <w:lang w:val="en-US" w:eastAsia="zh-CN"/>
        </w:rPr>
        <w:t xml:space="preserve"> 药剂专业学生到企业学习</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_Toc7128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25</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_Toc30869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highlight w:val="none"/>
          <w:lang w:val="en-US" w:eastAsia="zh-CN"/>
        </w:rPr>
        <w:t xml:space="preserve">图 </w:t>
      </w:r>
      <w:r>
        <w:rPr>
          <w:rFonts w:hint="eastAsia" w:asciiTheme="minorEastAsia" w:hAnsiTheme="minorEastAsia" w:eastAsiaTheme="minorEastAsia" w:cstheme="minorEastAsia"/>
          <w:sz w:val="24"/>
          <w:szCs w:val="24"/>
        </w:rPr>
        <w:t xml:space="preserve">15 </w:t>
      </w:r>
      <w:r>
        <w:rPr>
          <w:rFonts w:hint="eastAsia" w:asciiTheme="minorEastAsia" w:hAnsiTheme="minorEastAsia" w:eastAsiaTheme="minorEastAsia" w:cstheme="minorEastAsia"/>
          <w:sz w:val="24"/>
          <w:szCs w:val="24"/>
          <w:highlight w:val="none"/>
          <w:lang w:val="en-US" w:eastAsia="zh-CN"/>
        </w:rPr>
        <w:t xml:space="preserve"> 学校承办“1+X”老年照护考试</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_Toc30869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28</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_Toc12034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highlight w:val="none"/>
          <w:lang w:val="en-US" w:eastAsia="zh-CN"/>
        </w:rPr>
        <w:t xml:space="preserve">图 </w:t>
      </w:r>
      <w:r>
        <w:rPr>
          <w:rFonts w:hint="eastAsia" w:asciiTheme="minorEastAsia" w:hAnsiTheme="minorEastAsia" w:eastAsiaTheme="minorEastAsia" w:cstheme="minorEastAsia"/>
          <w:sz w:val="24"/>
          <w:szCs w:val="24"/>
        </w:rPr>
        <w:t xml:space="preserve">16 </w:t>
      </w:r>
      <w:r>
        <w:rPr>
          <w:rFonts w:hint="eastAsia" w:asciiTheme="minorEastAsia" w:hAnsiTheme="minorEastAsia" w:eastAsiaTheme="minorEastAsia" w:cstheme="minorEastAsia"/>
          <w:sz w:val="24"/>
          <w:szCs w:val="24"/>
          <w:highlight w:val="none"/>
          <w:lang w:val="en-US" w:eastAsia="zh-CN"/>
        </w:rPr>
        <w:t xml:space="preserve"> 学校开展“社会实践大课堂”活动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_Toc12034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_Toc5977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highlight w:val="none"/>
          <w:lang w:val="en-US" w:eastAsia="zh-CN"/>
        </w:rPr>
        <w:t xml:space="preserve">图 </w:t>
      </w:r>
      <w:r>
        <w:rPr>
          <w:rFonts w:hint="eastAsia" w:asciiTheme="minorEastAsia" w:hAnsiTheme="minorEastAsia" w:eastAsiaTheme="minorEastAsia" w:cstheme="minorEastAsia"/>
          <w:sz w:val="24"/>
          <w:szCs w:val="24"/>
        </w:rPr>
        <w:t xml:space="preserve">17 </w:t>
      </w:r>
      <w:r>
        <w:rPr>
          <w:rFonts w:hint="eastAsia" w:asciiTheme="minorEastAsia" w:hAnsiTheme="minorEastAsia" w:eastAsiaTheme="minorEastAsia" w:cstheme="minorEastAsia"/>
          <w:sz w:val="24"/>
          <w:szCs w:val="24"/>
          <w:highlight w:val="none"/>
          <w:lang w:val="en-US" w:eastAsia="zh-CN"/>
        </w:rPr>
        <w:t xml:space="preserve"> 四名“南丁格尔奖章”获得者出席学校南丁格尔志愿服务队成立仪式</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_Toc5977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30</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_Toc1446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bCs/>
          <w:kern w:val="2"/>
          <w:sz w:val="24"/>
          <w:szCs w:val="24"/>
          <w:highlight w:val="none"/>
          <w:lang w:val="en-US" w:eastAsia="zh-CN" w:bidi="ar-SA"/>
        </w:rPr>
        <w:t xml:space="preserve">图 </w:t>
      </w:r>
      <w:r>
        <w:rPr>
          <w:rFonts w:hint="eastAsia" w:asciiTheme="minorEastAsia" w:hAnsiTheme="minorEastAsia" w:eastAsiaTheme="minorEastAsia" w:cstheme="minorEastAsia"/>
          <w:sz w:val="24"/>
          <w:szCs w:val="24"/>
        </w:rPr>
        <w:t xml:space="preserve">18 </w:t>
      </w:r>
      <w:r>
        <w:rPr>
          <w:rFonts w:hint="eastAsia" w:asciiTheme="minorEastAsia" w:hAnsiTheme="minorEastAsia" w:eastAsiaTheme="minorEastAsia" w:cstheme="minorEastAsia"/>
          <w:bCs/>
          <w:kern w:val="2"/>
          <w:sz w:val="24"/>
          <w:szCs w:val="24"/>
          <w:highlight w:val="none"/>
          <w:lang w:val="en-US" w:eastAsia="zh-CN" w:bidi="ar-SA"/>
        </w:rPr>
        <w:t xml:space="preserve"> 学校参加山东省中医药文化活动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_Toc1446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32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_Toc6102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bCs/>
          <w:kern w:val="2"/>
          <w:sz w:val="24"/>
          <w:szCs w:val="24"/>
          <w:highlight w:val="none"/>
          <w:lang w:val="en-US" w:eastAsia="zh-CN" w:bidi="ar-SA"/>
        </w:rPr>
        <w:t xml:space="preserve">图 </w:t>
      </w:r>
      <w:r>
        <w:rPr>
          <w:rFonts w:hint="eastAsia" w:asciiTheme="minorEastAsia" w:hAnsiTheme="minorEastAsia" w:eastAsiaTheme="minorEastAsia" w:cstheme="minorEastAsia"/>
          <w:sz w:val="24"/>
          <w:szCs w:val="24"/>
        </w:rPr>
        <w:t xml:space="preserve">19 </w:t>
      </w:r>
      <w:r>
        <w:rPr>
          <w:rFonts w:hint="eastAsia" w:asciiTheme="minorEastAsia" w:hAnsiTheme="minorEastAsia" w:eastAsiaTheme="minorEastAsia" w:cstheme="minorEastAsia"/>
          <w:bCs/>
          <w:kern w:val="2"/>
          <w:sz w:val="24"/>
          <w:szCs w:val="24"/>
          <w:highlight w:val="none"/>
          <w:lang w:val="en-US" w:eastAsia="zh-CN" w:bidi="ar-SA"/>
        </w:rPr>
        <w:t xml:space="preserve"> 学校举办非遗文化进校园活动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_Toc6102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34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_Toc29062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bCs/>
          <w:kern w:val="2"/>
          <w:sz w:val="24"/>
          <w:szCs w:val="24"/>
          <w:highlight w:val="none"/>
          <w:lang w:val="en-US" w:eastAsia="zh-CN" w:bidi="ar-SA"/>
        </w:rPr>
        <w:t xml:space="preserve">图 </w:t>
      </w:r>
      <w:r>
        <w:rPr>
          <w:rFonts w:hint="eastAsia" w:asciiTheme="minorEastAsia" w:hAnsiTheme="minorEastAsia" w:eastAsiaTheme="minorEastAsia" w:cstheme="minorEastAsia"/>
          <w:sz w:val="24"/>
          <w:szCs w:val="24"/>
        </w:rPr>
        <w:t xml:space="preserve">20 </w:t>
      </w:r>
      <w:r>
        <w:rPr>
          <w:rFonts w:hint="eastAsia" w:asciiTheme="minorEastAsia" w:hAnsiTheme="minorEastAsia" w:eastAsiaTheme="minorEastAsia" w:cstheme="minorEastAsia"/>
          <w:bCs/>
          <w:kern w:val="2"/>
          <w:sz w:val="24"/>
          <w:szCs w:val="24"/>
          <w:highlight w:val="none"/>
          <w:lang w:val="en-US" w:eastAsia="zh-CN" w:bidi="ar-SA"/>
        </w:rPr>
        <w:t xml:space="preserve"> 学校与韩国金泉大学线上交流会谈</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_Toc29062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36</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_Toc15100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lang w:val="en-US" w:eastAsia="zh-CN"/>
        </w:rPr>
        <w:t xml:space="preserve">图 </w:t>
      </w:r>
      <w:r>
        <w:rPr>
          <w:rFonts w:hint="eastAsia" w:asciiTheme="minorEastAsia" w:hAnsiTheme="minorEastAsia" w:eastAsiaTheme="minorEastAsia" w:cstheme="minorEastAsia"/>
          <w:sz w:val="24"/>
          <w:szCs w:val="24"/>
        </w:rPr>
        <w:t xml:space="preserve">21 </w:t>
      </w:r>
      <w:r>
        <w:rPr>
          <w:rFonts w:hint="eastAsia" w:asciiTheme="minorEastAsia" w:hAnsiTheme="minorEastAsia" w:eastAsiaTheme="minorEastAsia" w:cstheme="minorEastAsia"/>
          <w:sz w:val="24"/>
          <w:szCs w:val="24"/>
          <w:lang w:val="en-US" w:eastAsia="zh-CN"/>
        </w:rPr>
        <w:t xml:space="preserve"> 康复护理专业中日线上交流培训会</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_Toc15100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38</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_Toc9517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lang w:val="en-US" w:eastAsia="zh-CN"/>
        </w:rPr>
        <w:t xml:space="preserve">图 </w:t>
      </w:r>
      <w:r>
        <w:rPr>
          <w:rFonts w:hint="eastAsia" w:asciiTheme="minorEastAsia" w:hAnsiTheme="minorEastAsia" w:eastAsiaTheme="minorEastAsia" w:cstheme="minorEastAsia"/>
          <w:sz w:val="24"/>
          <w:szCs w:val="24"/>
        </w:rPr>
        <w:t xml:space="preserve">22 </w:t>
      </w:r>
      <w:r>
        <w:rPr>
          <w:rFonts w:hint="eastAsia" w:asciiTheme="minorEastAsia" w:hAnsiTheme="minorEastAsia" w:eastAsiaTheme="minorEastAsia" w:cstheme="minorEastAsia"/>
          <w:sz w:val="24"/>
          <w:szCs w:val="24"/>
          <w:lang w:val="en-US" w:eastAsia="zh-CN"/>
        </w:rPr>
        <w:t xml:space="preserve"> 学校参加2023年职教周开幕式与留学生进行交流</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_Toc9517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39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_Toc708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lang w:val="en-US" w:eastAsia="zh-CN"/>
        </w:rPr>
        <w:t xml:space="preserve">图 </w:t>
      </w:r>
      <w:r>
        <w:rPr>
          <w:rFonts w:hint="eastAsia" w:asciiTheme="minorEastAsia" w:hAnsiTheme="minorEastAsia" w:eastAsiaTheme="minorEastAsia" w:cstheme="minorEastAsia"/>
          <w:sz w:val="24"/>
          <w:szCs w:val="24"/>
        </w:rPr>
        <w:t xml:space="preserve">23 </w:t>
      </w:r>
      <w:r>
        <w:rPr>
          <w:rFonts w:hint="eastAsia" w:asciiTheme="minorEastAsia" w:hAnsiTheme="minorEastAsia" w:eastAsiaTheme="minorEastAsia" w:cstheme="minorEastAsia"/>
          <w:sz w:val="24"/>
          <w:szCs w:val="24"/>
          <w:lang w:val="en-US" w:eastAsia="zh-CN"/>
        </w:rPr>
        <w:t xml:space="preserve"> 学校参加2023中国山东国际康养产业博览会</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_Toc708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39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_Toc18048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lang w:val="en-US" w:eastAsia="zh-CN"/>
        </w:rPr>
        <w:t xml:space="preserve">图 </w:t>
      </w:r>
      <w:r>
        <w:rPr>
          <w:rFonts w:hint="eastAsia" w:asciiTheme="minorEastAsia" w:hAnsiTheme="minorEastAsia" w:eastAsiaTheme="minorEastAsia" w:cstheme="minorEastAsia"/>
          <w:sz w:val="24"/>
          <w:szCs w:val="24"/>
        </w:rPr>
        <w:t xml:space="preserve">24 </w:t>
      </w:r>
      <w:r>
        <w:rPr>
          <w:rFonts w:hint="eastAsia" w:asciiTheme="minorEastAsia" w:hAnsiTheme="minorEastAsia" w:eastAsiaTheme="minorEastAsia" w:cstheme="minorEastAsia"/>
          <w:sz w:val="24"/>
          <w:szCs w:val="24"/>
          <w:lang w:val="en-US" w:eastAsia="zh-CN"/>
        </w:rPr>
        <w:t xml:space="preserve"> 中韩口腔技术专业线上交流培训会</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_Toc18048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40</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_Toc31077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lang w:val="en-US" w:eastAsia="zh-CN"/>
        </w:rPr>
        <w:t xml:space="preserve">图 </w:t>
      </w:r>
      <w:r>
        <w:rPr>
          <w:rFonts w:hint="eastAsia" w:asciiTheme="minorEastAsia" w:hAnsiTheme="minorEastAsia" w:eastAsiaTheme="minorEastAsia" w:cstheme="minorEastAsia"/>
          <w:sz w:val="24"/>
          <w:szCs w:val="24"/>
        </w:rPr>
        <w:t xml:space="preserve">25 </w:t>
      </w:r>
      <w:r>
        <w:rPr>
          <w:rFonts w:hint="eastAsia" w:asciiTheme="minorEastAsia" w:hAnsiTheme="minorEastAsia" w:eastAsiaTheme="minorEastAsia" w:cstheme="minorEastAsia"/>
          <w:sz w:val="24"/>
          <w:szCs w:val="24"/>
          <w:lang w:val="en-US" w:eastAsia="zh-CN"/>
        </w:rPr>
        <w:t xml:space="preserve"> 海外教育培训中心成立会谈</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_Toc31077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_Toc3990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bCs/>
          <w:sz w:val="24"/>
          <w:szCs w:val="24"/>
          <w:highlight w:val="none"/>
          <w:lang w:val="en-US" w:eastAsia="zh-CN"/>
        </w:rPr>
        <w:t xml:space="preserve">图 </w:t>
      </w:r>
      <w:r>
        <w:rPr>
          <w:rFonts w:hint="eastAsia" w:asciiTheme="minorEastAsia" w:hAnsiTheme="minorEastAsia" w:eastAsiaTheme="minorEastAsia" w:cstheme="minorEastAsia"/>
          <w:sz w:val="24"/>
          <w:szCs w:val="24"/>
        </w:rPr>
        <w:t xml:space="preserve">26 </w:t>
      </w:r>
      <w:r>
        <w:rPr>
          <w:rFonts w:hint="eastAsia" w:asciiTheme="minorEastAsia" w:hAnsiTheme="minorEastAsia" w:eastAsiaTheme="minorEastAsia" w:cstheme="minorEastAsia"/>
          <w:bCs/>
          <w:sz w:val="24"/>
          <w:szCs w:val="24"/>
          <w:highlight w:val="none"/>
          <w:lang w:val="en-US" w:eastAsia="zh-CN"/>
        </w:rPr>
        <w:t xml:space="preserve"> 学校与韩国大邱加图立大学开展交流活动</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_Toc3990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_Toc30923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lang w:val="en-US" w:eastAsia="zh-CN"/>
        </w:rPr>
        <w:t xml:space="preserve">图 </w:t>
      </w:r>
      <w:r>
        <w:rPr>
          <w:rFonts w:hint="eastAsia" w:asciiTheme="minorEastAsia" w:hAnsiTheme="minorEastAsia" w:eastAsiaTheme="minorEastAsia" w:cstheme="minorEastAsia"/>
          <w:sz w:val="24"/>
          <w:szCs w:val="24"/>
        </w:rPr>
        <w:t xml:space="preserve">27 </w:t>
      </w:r>
      <w:r>
        <w:rPr>
          <w:rFonts w:hint="eastAsia" w:asciiTheme="minorEastAsia" w:hAnsiTheme="minorEastAsia" w:eastAsiaTheme="minorEastAsia" w:cstheme="minorEastAsia"/>
          <w:sz w:val="24"/>
          <w:szCs w:val="24"/>
          <w:lang w:val="en-US" w:eastAsia="zh-CN"/>
        </w:rPr>
        <w:t xml:space="preserve"> 校外实习基地分布情况</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_Toc30923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43</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_Toc20192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highlight w:val="none"/>
          <w:lang w:val="en-US" w:eastAsia="zh-CN"/>
        </w:rPr>
        <w:t xml:space="preserve">图 </w:t>
      </w:r>
      <w:r>
        <w:rPr>
          <w:rFonts w:hint="eastAsia" w:asciiTheme="minorEastAsia" w:hAnsiTheme="minorEastAsia" w:eastAsiaTheme="minorEastAsia" w:cstheme="minorEastAsia"/>
          <w:sz w:val="24"/>
          <w:szCs w:val="24"/>
        </w:rPr>
        <w:t xml:space="preserve">28 </w:t>
      </w:r>
      <w:r>
        <w:rPr>
          <w:rFonts w:hint="eastAsia" w:asciiTheme="minorEastAsia" w:hAnsiTheme="minorEastAsia" w:eastAsiaTheme="minorEastAsia" w:cstheme="minorEastAsia"/>
          <w:sz w:val="24"/>
          <w:szCs w:val="24"/>
          <w:highlight w:val="none"/>
          <w:lang w:val="en-US" w:eastAsia="zh-CN"/>
        </w:rPr>
        <w:t xml:space="preserve"> 合作企业师傅为学校口腔修复工艺专业学徒示教</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_Toc20192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44</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_Toc7178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bCs/>
          <w:kern w:val="2"/>
          <w:sz w:val="24"/>
          <w:szCs w:val="24"/>
          <w:lang w:val="en-US" w:eastAsia="zh-CN" w:bidi="ar-SA"/>
        </w:rPr>
        <w:t xml:space="preserve">图 </w:t>
      </w:r>
      <w:r>
        <w:rPr>
          <w:rFonts w:hint="eastAsia" w:asciiTheme="minorEastAsia" w:hAnsiTheme="minorEastAsia" w:eastAsiaTheme="minorEastAsia" w:cstheme="minorEastAsia"/>
          <w:sz w:val="24"/>
          <w:szCs w:val="24"/>
        </w:rPr>
        <w:t xml:space="preserve">29 </w:t>
      </w:r>
      <w:r>
        <w:rPr>
          <w:rFonts w:hint="eastAsia" w:asciiTheme="minorEastAsia" w:hAnsiTheme="minorEastAsia" w:eastAsiaTheme="minorEastAsia" w:cstheme="minorEastAsia"/>
          <w:bCs/>
          <w:kern w:val="2"/>
          <w:sz w:val="24"/>
          <w:szCs w:val="24"/>
          <w:lang w:val="en-US" w:eastAsia="zh-CN" w:bidi="ar-SA"/>
        </w:rPr>
        <w:t xml:space="preserve"> 学校组织师生观看《榜样7》专题节目</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_Toc7178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48</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_Toc8315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bCs/>
          <w:kern w:val="2"/>
          <w:sz w:val="24"/>
          <w:szCs w:val="24"/>
          <w:lang w:val="en-US" w:eastAsia="zh-CN" w:bidi="ar-SA"/>
        </w:rPr>
        <w:t xml:space="preserve">图 </w:t>
      </w:r>
      <w:r>
        <w:rPr>
          <w:rFonts w:hint="eastAsia" w:asciiTheme="minorEastAsia" w:hAnsiTheme="minorEastAsia" w:eastAsiaTheme="minorEastAsia" w:cstheme="minorEastAsia"/>
          <w:sz w:val="24"/>
          <w:szCs w:val="24"/>
        </w:rPr>
        <w:t xml:space="preserve">30 </w:t>
      </w:r>
      <w:r>
        <w:rPr>
          <w:rFonts w:hint="eastAsia" w:asciiTheme="minorEastAsia" w:hAnsiTheme="minorEastAsia" w:eastAsiaTheme="minorEastAsia" w:cstheme="minorEastAsia"/>
          <w:bCs/>
          <w:kern w:val="2"/>
          <w:sz w:val="24"/>
          <w:szCs w:val="24"/>
          <w:lang w:val="en-US" w:eastAsia="zh-CN" w:bidi="ar-SA"/>
        </w:rPr>
        <w:t xml:space="preserve"> 学校进行红色教育研学</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_Toc8315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49</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宋体" w:hAnsi="宋体" w:eastAsia="宋体" w:cs="宋体"/>
          <w:b/>
          <w:color w:val="4874CB" w:themeColor="accent1"/>
          <w:sz w:val="32"/>
          <w:szCs w:val="32"/>
          <w:lang w:val="en-US" w:eastAsia="zh-CN"/>
          <w14:textFill>
            <w14:solidFill>
              <w14:schemeClr w14:val="accent1"/>
            </w14:solidFill>
          </w14:textFill>
        </w:rPr>
      </w:pPr>
      <w:r>
        <w:rPr>
          <w:rFonts w:hint="eastAsia" w:asciiTheme="minorEastAsia" w:hAnsiTheme="minorEastAsia" w:eastAsiaTheme="minorEastAsia" w:cstheme="minorEastAsia"/>
          <w:color w:val="auto"/>
          <w:sz w:val="24"/>
          <w:szCs w:val="24"/>
          <w:lang w:val="en-US" w:eastAsia="zh-CN"/>
        </w:rPr>
        <w:fldChar w:fldCharType="begin"/>
      </w:r>
      <w:r>
        <w:rPr>
          <w:rFonts w:hint="eastAsia" w:asciiTheme="minorEastAsia" w:hAnsiTheme="minorEastAsia" w:eastAsiaTheme="minorEastAsia" w:cstheme="minorEastAsia"/>
          <w:sz w:val="24"/>
          <w:szCs w:val="24"/>
          <w:lang w:val="en-US" w:eastAsia="zh-CN"/>
        </w:rPr>
        <w:instrText xml:space="preserve"> HYPERLINK \l _Toc14466 </w:instrText>
      </w:r>
      <w:r>
        <w:rPr>
          <w:rFonts w:hint="eastAsia" w:asciiTheme="minorEastAsia" w:hAnsiTheme="minorEastAsia" w:eastAsiaTheme="minorEastAsia" w:cstheme="minorEastAsia"/>
          <w:sz w:val="24"/>
          <w:szCs w:val="24"/>
          <w:lang w:val="en-US" w:eastAsia="zh-CN"/>
        </w:rPr>
        <w:fldChar w:fldCharType="separate"/>
      </w:r>
      <w:r>
        <w:rPr>
          <w:rFonts w:hint="eastAsia" w:asciiTheme="minorEastAsia" w:hAnsiTheme="minorEastAsia" w:eastAsiaTheme="minorEastAsia" w:cstheme="minorEastAsia"/>
          <w:sz w:val="24"/>
          <w:szCs w:val="24"/>
          <w:lang w:val="en-US" w:eastAsia="zh-CN"/>
        </w:rPr>
        <w:t xml:space="preserve">图 </w:t>
      </w:r>
      <w:r>
        <w:rPr>
          <w:rFonts w:hint="eastAsia" w:asciiTheme="minorEastAsia" w:hAnsiTheme="minorEastAsia" w:eastAsiaTheme="minorEastAsia" w:cstheme="minorEastAsia"/>
          <w:sz w:val="24"/>
          <w:szCs w:val="24"/>
        </w:rPr>
        <w:t xml:space="preserve">31 </w:t>
      </w:r>
      <w:r>
        <w:rPr>
          <w:rFonts w:hint="eastAsia" w:asciiTheme="minorEastAsia" w:hAnsiTheme="minorEastAsia" w:eastAsiaTheme="minorEastAsia" w:cstheme="minorEastAsia"/>
          <w:sz w:val="24"/>
          <w:szCs w:val="24"/>
          <w:lang w:val="en-US" w:eastAsia="zh-CN"/>
        </w:rPr>
        <w:t xml:space="preserve"> 学校师资队伍情况 </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PAGEREF _Toc14466 \h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53</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color w:val="auto"/>
          <w:sz w:val="24"/>
          <w:szCs w:val="24"/>
          <w:lang w:val="en-US" w:eastAsia="zh-CN"/>
        </w:rPr>
        <w:fldChar w:fldCharType="end"/>
      </w:r>
      <w:r>
        <w:rPr>
          <w:rFonts w:hint="eastAsia" w:asciiTheme="minorEastAsia" w:hAnsiTheme="minorEastAsia" w:eastAsiaTheme="minorEastAsia" w:cstheme="minorEastAsia"/>
          <w:color w:val="auto"/>
          <w:sz w:val="24"/>
          <w:szCs w:val="24"/>
          <w:lang w:val="en-US" w:eastAsia="zh-CN"/>
        </w:rPr>
        <w:fldChar w:fldCharType="end"/>
      </w:r>
    </w:p>
    <w:p>
      <w:pPr>
        <w:rPr>
          <w:rFonts w:hint="eastAsia" w:ascii="宋体" w:hAnsi="宋体" w:eastAsia="宋体" w:cs="宋体"/>
          <w:color w:val="4874CB" w:themeColor="accent1"/>
          <w:lang w:val="en-US" w:eastAsia="zh-CN"/>
          <w14:textFill>
            <w14:solidFill>
              <w14:schemeClr w14:val="accent1"/>
            </w14:solidFill>
          </w14:textFill>
        </w:rPr>
      </w:pPr>
      <w:r>
        <w:rPr>
          <w:rFonts w:hint="eastAsia" w:ascii="宋体" w:hAnsi="宋体" w:eastAsia="宋体" w:cs="宋体"/>
          <w:color w:val="4874CB" w:themeColor="accent1"/>
          <w:lang w:val="en-US" w:eastAsia="zh-CN"/>
          <w14:textFill>
            <w14:solidFill>
              <w14:schemeClr w14:val="accent1"/>
            </w14:solidFill>
          </w14:textFill>
        </w:rPr>
        <w:br w:type="page"/>
      </w:r>
    </w:p>
    <w:p>
      <w:pPr>
        <w:keepNext w:val="0"/>
        <w:keepLines w:val="0"/>
        <w:pageBreakBefore w:val="0"/>
        <w:widowControl w:val="0"/>
        <w:tabs>
          <w:tab w:val="right" w:leader="dot" w:pos="8306"/>
        </w:tabs>
        <w:kinsoku/>
        <w:wordWrap/>
        <w:overflowPunct/>
        <w:topLinePunct w:val="0"/>
        <w:autoSpaceDE/>
        <w:autoSpaceDN/>
        <w:bidi w:val="0"/>
        <w:adjustRightInd/>
        <w:snapToGrid/>
        <w:spacing w:after="313" w:afterLines="100" w:line="240" w:lineRule="auto"/>
        <w:ind w:left="0" w:leftChars="0" w:firstLine="0" w:firstLineChars="0"/>
        <w:jc w:val="center"/>
        <w:textAlignment w:val="auto"/>
        <w:rPr>
          <w:rFonts w:hint="eastAsia" w:ascii="宋体" w:hAnsi="宋体" w:eastAsia="宋体" w:cs="宋体"/>
          <w:b/>
          <w:color w:val="4874CB" w:themeColor="accent1"/>
          <w:sz w:val="32"/>
          <w:szCs w:val="32"/>
          <w14:textFill>
            <w14:solidFill>
              <w14:schemeClr w14:val="accent1"/>
            </w14:solidFill>
          </w14:textFill>
        </w:rPr>
      </w:pPr>
      <w:r>
        <w:rPr>
          <w:rFonts w:hint="eastAsia" w:ascii="宋体" w:hAnsi="宋体" w:eastAsia="宋体" w:cs="宋体"/>
          <w:b/>
          <w:color w:val="auto"/>
          <w:sz w:val="32"/>
          <w:szCs w:val="32"/>
        </w:rPr>
        <w:t>案例目录</w:t>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宋体" w:hAnsi="宋体" w:eastAsia="宋体" w:cs="宋体"/>
          <w:sz w:val="24"/>
          <w:szCs w:val="24"/>
        </w:rPr>
      </w:pP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TOC \h \c "案例"</w:instrText>
      </w:r>
      <w:r>
        <w:rPr>
          <w:rFonts w:hint="eastAsia" w:ascii="宋体" w:hAnsi="宋体" w:eastAsia="宋体" w:cs="宋体"/>
          <w:color w:val="auto"/>
          <w:sz w:val="24"/>
          <w:szCs w:val="24"/>
        </w:rPr>
        <w:fldChar w:fldCharType="separate"/>
      </w:r>
      <w:r>
        <w:rPr>
          <w:rFonts w:hint="eastAsia" w:ascii="宋体" w:hAnsi="宋体" w:eastAsia="宋体" w:cs="宋体"/>
          <w:color w:val="auto"/>
          <w:sz w:val="24"/>
          <w:szCs w:val="24"/>
        </w:rPr>
        <w:fldChar w:fldCharType="begin"/>
      </w:r>
      <w:r>
        <w:rPr>
          <w:rFonts w:hint="eastAsia" w:ascii="宋体" w:hAnsi="宋体" w:eastAsia="宋体" w:cs="宋体"/>
          <w:sz w:val="24"/>
          <w:szCs w:val="24"/>
        </w:rPr>
        <w:instrText xml:space="preserve"> HYPERLINK \l _Toc31230 </w:instrText>
      </w:r>
      <w:r>
        <w:rPr>
          <w:rFonts w:hint="eastAsia" w:ascii="宋体" w:hAnsi="宋体" w:eastAsia="宋体" w:cs="宋体"/>
          <w:sz w:val="24"/>
          <w:szCs w:val="24"/>
        </w:rPr>
        <w:fldChar w:fldCharType="separate"/>
      </w:r>
      <w:r>
        <w:rPr>
          <w:rFonts w:hint="eastAsia" w:ascii="宋体" w:hAnsi="宋体" w:eastAsia="宋体" w:cs="宋体"/>
          <w:bCs/>
          <w:sz w:val="24"/>
          <w:szCs w:val="24"/>
          <w:highlight w:val="none"/>
          <w:lang w:val="en-US" w:eastAsia="zh-CN"/>
        </w:rPr>
        <w:t xml:space="preserve">案例 </w:t>
      </w:r>
      <w:r>
        <w:rPr>
          <w:rFonts w:hint="eastAsia" w:ascii="宋体" w:hAnsi="宋体" w:eastAsia="宋体" w:cs="宋体"/>
          <w:sz w:val="24"/>
          <w:szCs w:val="24"/>
        </w:rPr>
        <w:t xml:space="preserve">1 </w:t>
      </w:r>
      <w:r>
        <w:rPr>
          <w:rFonts w:hint="eastAsia" w:ascii="宋体" w:hAnsi="宋体" w:eastAsia="宋体" w:cs="宋体"/>
          <w:bCs/>
          <w:sz w:val="24"/>
          <w:szCs w:val="24"/>
          <w:highlight w:val="none"/>
          <w:lang w:val="en-US" w:eastAsia="zh-CN"/>
        </w:rPr>
        <w:t>：构建健康育人新模式，培养基层健康守护人</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_Toc31230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color w:val="auto"/>
          <w:sz w:val="24"/>
          <w:szCs w:val="24"/>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宋体" w:hAnsi="宋体" w:eastAsia="宋体" w:cs="宋体"/>
          <w:sz w:val="24"/>
          <w:szCs w:val="24"/>
        </w:rPr>
      </w:pPr>
      <w:r>
        <w:rPr>
          <w:rFonts w:hint="eastAsia" w:ascii="宋体" w:hAnsi="宋体" w:eastAsia="宋体" w:cs="宋体"/>
          <w:color w:val="auto"/>
          <w:sz w:val="24"/>
          <w:szCs w:val="24"/>
        </w:rPr>
        <w:fldChar w:fldCharType="begin"/>
      </w:r>
      <w:r>
        <w:rPr>
          <w:rFonts w:hint="eastAsia" w:ascii="宋体" w:hAnsi="宋体" w:eastAsia="宋体" w:cs="宋体"/>
          <w:sz w:val="24"/>
          <w:szCs w:val="24"/>
        </w:rPr>
        <w:instrText xml:space="preserve"> HYPERLINK \l _Toc25348 </w:instrText>
      </w:r>
      <w:r>
        <w:rPr>
          <w:rFonts w:hint="eastAsia" w:ascii="宋体" w:hAnsi="宋体" w:eastAsia="宋体" w:cs="宋体"/>
          <w:sz w:val="24"/>
          <w:szCs w:val="24"/>
        </w:rPr>
        <w:fldChar w:fldCharType="separate"/>
      </w:r>
      <w:r>
        <w:rPr>
          <w:rFonts w:hint="eastAsia" w:ascii="宋体" w:hAnsi="宋体" w:eastAsia="宋体" w:cs="宋体"/>
          <w:bCs/>
          <w:sz w:val="24"/>
          <w:szCs w:val="24"/>
          <w:highlight w:val="none"/>
          <w:lang w:val="en-US" w:eastAsia="zh-CN"/>
        </w:rPr>
        <w:t xml:space="preserve">案例 </w:t>
      </w:r>
      <w:r>
        <w:rPr>
          <w:rFonts w:hint="eastAsia" w:ascii="宋体" w:hAnsi="宋体" w:eastAsia="宋体" w:cs="宋体"/>
          <w:sz w:val="24"/>
          <w:szCs w:val="24"/>
        </w:rPr>
        <w:t xml:space="preserve">2 </w:t>
      </w:r>
      <w:r>
        <w:rPr>
          <w:rFonts w:hint="eastAsia" w:ascii="宋体" w:hAnsi="宋体" w:eastAsia="宋体" w:cs="宋体"/>
          <w:bCs/>
          <w:sz w:val="24"/>
          <w:szCs w:val="24"/>
          <w:highlight w:val="none"/>
          <w:lang w:val="en-US" w:eastAsia="zh-CN"/>
        </w:rPr>
        <w:t>：全面加强心理健康教育，共促学生幸福成长</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_Toc25348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color w:val="auto"/>
          <w:sz w:val="24"/>
          <w:szCs w:val="24"/>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宋体" w:hAnsi="宋体" w:eastAsia="宋体" w:cs="宋体"/>
          <w:sz w:val="24"/>
          <w:szCs w:val="24"/>
        </w:rPr>
      </w:pPr>
      <w:r>
        <w:rPr>
          <w:rFonts w:hint="eastAsia" w:ascii="宋体" w:hAnsi="宋体" w:eastAsia="宋体" w:cs="宋体"/>
          <w:color w:val="auto"/>
          <w:sz w:val="24"/>
          <w:szCs w:val="24"/>
        </w:rPr>
        <w:fldChar w:fldCharType="begin"/>
      </w:r>
      <w:r>
        <w:rPr>
          <w:rFonts w:hint="eastAsia" w:ascii="宋体" w:hAnsi="宋体" w:eastAsia="宋体" w:cs="宋体"/>
          <w:sz w:val="24"/>
          <w:szCs w:val="24"/>
        </w:rPr>
        <w:instrText xml:space="preserve"> HYPERLINK \l _Toc25386 </w:instrText>
      </w:r>
      <w:r>
        <w:rPr>
          <w:rFonts w:hint="eastAsia" w:ascii="宋体" w:hAnsi="宋体" w:eastAsia="宋体" w:cs="宋体"/>
          <w:sz w:val="24"/>
          <w:szCs w:val="24"/>
        </w:rPr>
        <w:fldChar w:fldCharType="separate"/>
      </w:r>
      <w:r>
        <w:rPr>
          <w:rFonts w:hint="eastAsia" w:ascii="宋体" w:hAnsi="宋体" w:eastAsia="宋体" w:cs="宋体"/>
          <w:bCs/>
          <w:sz w:val="24"/>
          <w:szCs w:val="24"/>
          <w:highlight w:val="none"/>
          <w:lang w:val="en-US" w:eastAsia="zh-CN"/>
        </w:rPr>
        <w:t xml:space="preserve">案例 </w:t>
      </w:r>
      <w:r>
        <w:rPr>
          <w:rFonts w:hint="eastAsia" w:ascii="宋体" w:hAnsi="宋体" w:eastAsia="宋体" w:cs="宋体"/>
          <w:sz w:val="24"/>
          <w:szCs w:val="24"/>
        </w:rPr>
        <w:t xml:space="preserve">3 </w:t>
      </w:r>
      <w:r>
        <w:rPr>
          <w:rFonts w:hint="eastAsia" w:ascii="宋体" w:hAnsi="宋体" w:eastAsia="宋体" w:cs="宋体"/>
          <w:bCs/>
          <w:sz w:val="24"/>
          <w:szCs w:val="24"/>
          <w:highlight w:val="none"/>
          <w:lang w:val="en-US" w:eastAsia="zh-CN"/>
        </w:rPr>
        <w:t>：岗课赛证融通，提升教师素养</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_Toc25386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color w:val="auto"/>
          <w:sz w:val="24"/>
          <w:szCs w:val="24"/>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宋体" w:hAnsi="宋体" w:eastAsia="宋体" w:cs="宋体"/>
          <w:sz w:val="24"/>
          <w:szCs w:val="24"/>
        </w:rPr>
      </w:pPr>
      <w:r>
        <w:rPr>
          <w:rFonts w:hint="eastAsia" w:ascii="宋体" w:hAnsi="宋体" w:eastAsia="宋体" w:cs="宋体"/>
          <w:color w:val="auto"/>
          <w:sz w:val="24"/>
          <w:szCs w:val="24"/>
        </w:rPr>
        <w:fldChar w:fldCharType="begin"/>
      </w:r>
      <w:r>
        <w:rPr>
          <w:rFonts w:hint="eastAsia" w:ascii="宋体" w:hAnsi="宋体" w:eastAsia="宋体" w:cs="宋体"/>
          <w:sz w:val="24"/>
          <w:szCs w:val="24"/>
        </w:rPr>
        <w:instrText xml:space="preserve"> HYPERLINK \l _Toc11160 </w:instrText>
      </w:r>
      <w:r>
        <w:rPr>
          <w:rFonts w:hint="eastAsia" w:ascii="宋体" w:hAnsi="宋体" w:eastAsia="宋体" w:cs="宋体"/>
          <w:sz w:val="24"/>
          <w:szCs w:val="24"/>
        </w:rPr>
        <w:fldChar w:fldCharType="separate"/>
      </w:r>
      <w:r>
        <w:rPr>
          <w:rFonts w:hint="eastAsia" w:ascii="宋体" w:hAnsi="宋体" w:eastAsia="宋体" w:cs="宋体"/>
          <w:bCs/>
          <w:sz w:val="24"/>
          <w:szCs w:val="24"/>
          <w:highlight w:val="none"/>
          <w:lang w:val="en-US" w:eastAsia="zh-CN"/>
        </w:rPr>
        <w:t xml:space="preserve">案例 </w:t>
      </w:r>
      <w:r>
        <w:rPr>
          <w:rFonts w:hint="eastAsia" w:ascii="宋体" w:hAnsi="宋体" w:eastAsia="宋体" w:cs="宋体"/>
          <w:sz w:val="24"/>
          <w:szCs w:val="24"/>
        </w:rPr>
        <w:t xml:space="preserve">4 </w:t>
      </w:r>
      <w:r>
        <w:rPr>
          <w:rFonts w:hint="eastAsia" w:ascii="宋体" w:hAnsi="宋体" w:eastAsia="宋体" w:cs="宋体"/>
          <w:bCs/>
          <w:sz w:val="24"/>
          <w:szCs w:val="24"/>
          <w:highlight w:val="none"/>
          <w:lang w:val="en-US" w:eastAsia="zh-CN"/>
        </w:rPr>
        <w:t>：牵头制定国家教学标准，带动专业整体水平提升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_Toc11160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color w:val="auto"/>
          <w:sz w:val="24"/>
          <w:szCs w:val="24"/>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宋体" w:hAnsi="宋体" w:eastAsia="宋体" w:cs="宋体"/>
          <w:sz w:val="24"/>
          <w:szCs w:val="24"/>
        </w:rPr>
      </w:pPr>
      <w:r>
        <w:rPr>
          <w:rFonts w:hint="eastAsia" w:ascii="宋体" w:hAnsi="宋体" w:eastAsia="宋体" w:cs="宋体"/>
          <w:color w:val="auto"/>
          <w:sz w:val="24"/>
          <w:szCs w:val="24"/>
        </w:rPr>
        <w:fldChar w:fldCharType="begin"/>
      </w:r>
      <w:r>
        <w:rPr>
          <w:rFonts w:hint="eastAsia" w:ascii="宋体" w:hAnsi="宋体" w:eastAsia="宋体" w:cs="宋体"/>
          <w:sz w:val="24"/>
          <w:szCs w:val="24"/>
        </w:rPr>
        <w:instrText xml:space="preserve"> HYPERLINK \l _Toc15300 </w:instrText>
      </w:r>
      <w:r>
        <w:rPr>
          <w:rFonts w:hint="eastAsia" w:ascii="宋体" w:hAnsi="宋体" w:eastAsia="宋体" w:cs="宋体"/>
          <w:sz w:val="24"/>
          <w:szCs w:val="24"/>
        </w:rPr>
        <w:fldChar w:fldCharType="separate"/>
      </w:r>
      <w:r>
        <w:rPr>
          <w:rFonts w:hint="eastAsia" w:ascii="宋体" w:hAnsi="宋体" w:eastAsia="宋体" w:cs="宋体"/>
          <w:bCs/>
          <w:sz w:val="24"/>
          <w:szCs w:val="24"/>
          <w:highlight w:val="none"/>
          <w:lang w:val="en-US" w:eastAsia="zh-CN"/>
        </w:rPr>
        <w:t xml:space="preserve">案例 </w:t>
      </w:r>
      <w:r>
        <w:rPr>
          <w:rFonts w:hint="eastAsia" w:ascii="宋体" w:hAnsi="宋体" w:eastAsia="宋体" w:cs="宋体"/>
          <w:sz w:val="24"/>
          <w:szCs w:val="24"/>
        </w:rPr>
        <w:t xml:space="preserve">5 </w:t>
      </w:r>
      <w:r>
        <w:rPr>
          <w:rFonts w:hint="eastAsia" w:ascii="宋体" w:hAnsi="宋体" w:eastAsia="宋体" w:cs="宋体"/>
          <w:bCs/>
          <w:sz w:val="24"/>
          <w:szCs w:val="24"/>
          <w:highlight w:val="none"/>
          <w:lang w:val="en-US" w:eastAsia="zh-CN"/>
        </w:rPr>
        <w:t>：提供个性化服务，提升学生专业技能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_Toc15300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color w:val="auto"/>
          <w:sz w:val="24"/>
          <w:szCs w:val="24"/>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宋体" w:hAnsi="宋体" w:eastAsia="宋体" w:cs="宋体"/>
          <w:sz w:val="24"/>
          <w:szCs w:val="24"/>
        </w:rPr>
      </w:pPr>
      <w:r>
        <w:rPr>
          <w:rFonts w:hint="eastAsia" w:ascii="宋体" w:hAnsi="宋体" w:eastAsia="宋体" w:cs="宋体"/>
          <w:color w:val="auto"/>
          <w:sz w:val="24"/>
          <w:szCs w:val="24"/>
        </w:rPr>
        <w:fldChar w:fldCharType="begin"/>
      </w:r>
      <w:r>
        <w:rPr>
          <w:rFonts w:hint="eastAsia" w:ascii="宋体" w:hAnsi="宋体" w:eastAsia="宋体" w:cs="宋体"/>
          <w:sz w:val="24"/>
          <w:szCs w:val="24"/>
        </w:rPr>
        <w:instrText xml:space="preserve"> HYPERLINK \l _Toc7300 </w:instrText>
      </w:r>
      <w:r>
        <w:rPr>
          <w:rFonts w:hint="eastAsia" w:ascii="宋体" w:hAnsi="宋体" w:eastAsia="宋体" w:cs="宋体"/>
          <w:sz w:val="24"/>
          <w:szCs w:val="24"/>
        </w:rPr>
        <w:fldChar w:fldCharType="separate"/>
      </w:r>
      <w:r>
        <w:rPr>
          <w:rFonts w:hint="eastAsia" w:ascii="宋体" w:hAnsi="宋体" w:eastAsia="宋体" w:cs="宋体"/>
          <w:bCs/>
          <w:sz w:val="24"/>
          <w:szCs w:val="24"/>
          <w:highlight w:val="none"/>
          <w:lang w:val="en-US" w:eastAsia="zh-CN"/>
        </w:rPr>
        <w:t xml:space="preserve">案例 </w:t>
      </w:r>
      <w:r>
        <w:rPr>
          <w:rFonts w:hint="eastAsia" w:ascii="宋体" w:hAnsi="宋体" w:eastAsia="宋体" w:cs="宋体"/>
          <w:sz w:val="24"/>
          <w:szCs w:val="24"/>
        </w:rPr>
        <w:t xml:space="preserve">6 </w:t>
      </w:r>
      <w:r>
        <w:rPr>
          <w:rFonts w:hint="eastAsia" w:ascii="宋体" w:hAnsi="宋体" w:eastAsia="宋体" w:cs="宋体"/>
          <w:bCs/>
          <w:sz w:val="24"/>
          <w:szCs w:val="24"/>
          <w:highlight w:val="none"/>
          <w:lang w:val="en-US" w:eastAsia="zh-CN"/>
        </w:rPr>
        <w:t>：充足的公共课程供给，赋能学生成长成才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_Toc7300 \h </w:instrText>
      </w:r>
      <w:r>
        <w:rPr>
          <w:rFonts w:hint="eastAsia" w:ascii="宋体" w:hAnsi="宋体" w:eastAsia="宋体" w:cs="宋体"/>
          <w:sz w:val="24"/>
          <w:szCs w:val="24"/>
        </w:rPr>
        <w:fldChar w:fldCharType="separate"/>
      </w:r>
      <w:r>
        <w:rPr>
          <w:rFonts w:hint="eastAsia" w:ascii="宋体" w:hAnsi="宋体" w:eastAsia="宋体" w:cs="宋体"/>
          <w:sz w:val="24"/>
          <w:szCs w:val="24"/>
        </w:rPr>
        <w:t>10</w:t>
      </w:r>
      <w:r>
        <w:rPr>
          <w:rFonts w:hint="eastAsia" w:ascii="宋体" w:hAnsi="宋体" w:eastAsia="宋体" w:cs="宋体"/>
          <w:sz w:val="24"/>
          <w:szCs w:val="24"/>
        </w:rPr>
        <w:fldChar w:fldCharType="end"/>
      </w:r>
      <w:r>
        <w:rPr>
          <w:rFonts w:hint="eastAsia" w:ascii="宋体" w:hAnsi="宋体" w:eastAsia="宋体" w:cs="宋体"/>
          <w:color w:val="auto"/>
          <w:sz w:val="24"/>
          <w:szCs w:val="24"/>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宋体" w:hAnsi="宋体" w:eastAsia="宋体" w:cs="宋体"/>
          <w:sz w:val="24"/>
          <w:szCs w:val="24"/>
        </w:rPr>
      </w:pPr>
      <w:r>
        <w:rPr>
          <w:rFonts w:hint="eastAsia" w:ascii="宋体" w:hAnsi="宋体" w:eastAsia="宋体" w:cs="宋体"/>
          <w:color w:val="auto"/>
          <w:sz w:val="24"/>
          <w:szCs w:val="24"/>
        </w:rPr>
        <w:fldChar w:fldCharType="begin"/>
      </w:r>
      <w:r>
        <w:rPr>
          <w:rFonts w:hint="eastAsia" w:ascii="宋体" w:hAnsi="宋体" w:eastAsia="宋体" w:cs="宋体"/>
          <w:sz w:val="24"/>
          <w:szCs w:val="24"/>
        </w:rPr>
        <w:instrText xml:space="preserve"> HYPERLINK \l _Toc14526 </w:instrText>
      </w:r>
      <w:r>
        <w:rPr>
          <w:rFonts w:hint="eastAsia" w:ascii="宋体" w:hAnsi="宋体" w:eastAsia="宋体" w:cs="宋体"/>
          <w:sz w:val="24"/>
          <w:szCs w:val="24"/>
        </w:rPr>
        <w:fldChar w:fldCharType="separate"/>
      </w:r>
      <w:r>
        <w:rPr>
          <w:rFonts w:hint="eastAsia" w:ascii="宋体" w:hAnsi="宋体" w:eastAsia="宋体" w:cs="宋体"/>
          <w:bCs/>
          <w:sz w:val="24"/>
          <w:szCs w:val="24"/>
          <w:highlight w:val="none"/>
          <w:lang w:val="en-US" w:eastAsia="zh-CN"/>
        </w:rPr>
        <w:t xml:space="preserve">案例 </w:t>
      </w:r>
      <w:r>
        <w:rPr>
          <w:rFonts w:hint="eastAsia" w:ascii="宋体" w:hAnsi="宋体" w:eastAsia="宋体" w:cs="宋体"/>
          <w:sz w:val="24"/>
          <w:szCs w:val="24"/>
        </w:rPr>
        <w:t xml:space="preserve">7 </w:t>
      </w:r>
      <w:r>
        <w:rPr>
          <w:rFonts w:hint="eastAsia" w:ascii="宋体" w:hAnsi="宋体" w:eastAsia="宋体" w:cs="宋体"/>
          <w:bCs/>
          <w:sz w:val="24"/>
          <w:szCs w:val="24"/>
          <w:highlight w:val="none"/>
          <w:lang w:val="en-US" w:eastAsia="zh-CN"/>
        </w:rPr>
        <w:t>：践行课程思政理念，用心用情教书育人</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_Toc14526 \h </w:instrText>
      </w:r>
      <w:r>
        <w:rPr>
          <w:rFonts w:hint="eastAsia" w:ascii="宋体" w:hAnsi="宋体" w:eastAsia="宋体" w:cs="宋体"/>
          <w:sz w:val="24"/>
          <w:szCs w:val="24"/>
        </w:rPr>
        <w:fldChar w:fldCharType="separate"/>
      </w:r>
      <w:r>
        <w:rPr>
          <w:rFonts w:hint="eastAsia" w:ascii="宋体" w:hAnsi="宋体" w:eastAsia="宋体" w:cs="宋体"/>
          <w:sz w:val="24"/>
          <w:szCs w:val="24"/>
        </w:rPr>
        <w:t>11</w:t>
      </w:r>
      <w:r>
        <w:rPr>
          <w:rFonts w:hint="eastAsia" w:ascii="宋体" w:hAnsi="宋体" w:eastAsia="宋体" w:cs="宋体"/>
          <w:sz w:val="24"/>
          <w:szCs w:val="24"/>
        </w:rPr>
        <w:fldChar w:fldCharType="end"/>
      </w:r>
      <w:r>
        <w:rPr>
          <w:rFonts w:hint="eastAsia" w:ascii="宋体" w:hAnsi="宋体" w:eastAsia="宋体" w:cs="宋体"/>
          <w:color w:val="auto"/>
          <w:sz w:val="24"/>
          <w:szCs w:val="24"/>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宋体" w:hAnsi="宋体" w:eastAsia="宋体" w:cs="宋体"/>
          <w:sz w:val="24"/>
          <w:szCs w:val="24"/>
        </w:rPr>
      </w:pPr>
      <w:r>
        <w:rPr>
          <w:rFonts w:hint="eastAsia" w:ascii="宋体" w:hAnsi="宋体" w:eastAsia="宋体" w:cs="宋体"/>
          <w:color w:val="auto"/>
          <w:sz w:val="24"/>
          <w:szCs w:val="24"/>
        </w:rPr>
        <w:fldChar w:fldCharType="begin"/>
      </w:r>
      <w:r>
        <w:rPr>
          <w:rFonts w:hint="eastAsia" w:ascii="宋体" w:hAnsi="宋体" w:eastAsia="宋体" w:cs="宋体"/>
          <w:sz w:val="24"/>
          <w:szCs w:val="24"/>
        </w:rPr>
        <w:instrText xml:space="preserve"> HYPERLINK \l _Toc26737 </w:instrText>
      </w:r>
      <w:r>
        <w:rPr>
          <w:rFonts w:hint="eastAsia" w:ascii="宋体" w:hAnsi="宋体" w:eastAsia="宋体" w:cs="宋体"/>
          <w:sz w:val="24"/>
          <w:szCs w:val="24"/>
        </w:rPr>
        <w:fldChar w:fldCharType="separate"/>
      </w:r>
      <w:r>
        <w:rPr>
          <w:rFonts w:hint="eastAsia" w:ascii="宋体" w:hAnsi="宋体" w:eastAsia="宋体" w:cs="宋体"/>
          <w:bCs/>
          <w:sz w:val="24"/>
          <w:szCs w:val="24"/>
          <w:highlight w:val="none"/>
          <w:lang w:val="en-US" w:eastAsia="zh-CN"/>
        </w:rPr>
        <w:t xml:space="preserve">案例 </w:t>
      </w:r>
      <w:r>
        <w:rPr>
          <w:rFonts w:hint="eastAsia" w:ascii="宋体" w:hAnsi="宋体" w:eastAsia="宋体" w:cs="宋体"/>
          <w:sz w:val="24"/>
          <w:szCs w:val="24"/>
        </w:rPr>
        <w:t xml:space="preserve">8 </w:t>
      </w:r>
      <w:r>
        <w:rPr>
          <w:rFonts w:hint="eastAsia" w:ascii="宋体" w:hAnsi="宋体" w:eastAsia="宋体" w:cs="宋体"/>
          <w:bCs/>
          <w:sz w:val="24"/>
          <w:szCs w:val="24"/>
          <w:highlight w:val="none"/>
          <w:lang w:val="en-US" w:eastAsia="zh-CN"/>
        </w:rPr>
        <w:t>：改进教学方法，提高教学成效</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_Toc26737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color w:val="auto"/>
          <w:sz w:val="24"/>
          <w:szCs w:val="24"/>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宋体" w:hAnsi="宋体" w:eastAsia="宋体" w:cs="宋体"/>
          <w:sz w:val="24"/>
          <w:szCs w:val="24"/>
        </w:rPr>
      </w:pPr>
      <w:r>
        <w:rPr>
          <w:rFonts w:hint="eastAsia" w:ascii="宋体" w:hAnsi="宋体" w:eastAsia="宋体" w:cs="宋体"/>
          <w:color w:val="auto"/>
          <w:sz w:val="24"/>
          <w:szCs w:val="24"/>
        </w:rPr>
        <w:fldChar w:fldCharType="begin"/>
      </w:r>
      <w:r>
        <w:rPr>
          <w:rFonts w:hint="eastAsia" w:ascii="宋体" w:hAnsi="宋体" w:eastAsia="宋体" w:cs="宋体"/>
          <w:sz w:val="24"/>
          <w:szCs w:val="24"/>
        </w:rPr>
        <w:instrText xml:space="preserve"> HYPERLINK \l _Toc10542 </w:instrText>
      </w:r>
      <w:r>
        <w:rPr>
          <w:rFonts w:hint="eastAsia" w:ascii="宋体" w:hAnsi="宋体" w:eastAsia="宋体" w:cs="宋体"/>
          <w:sz w:val="24"/>
          <w:szCs w:val="24"/>
        </w:rPr>
        <w:fldChar w:fldCharType="separate"/>
      </w:r>
      <w:r>
        <w:rPr>
          <w:rFonts w:hint="eastAsia" w:ascii="宋体" w:hAnsi="宋体" w:eastAsia="宋体" w:cs="宋体"/>
          <w:bCs/>
          <w:sz w:val="24"/>
          <w:szCs w:val="24"/>
          <w:highlight w:val="none"/>
          <w:lang w:val="en-US" w:eastAsia="zh-CN"/>
        </w:rPr>
        <w:t xml:space="preserve">案例 </w:t>
      </w:r>
      <w:r>
        <w:rPr>
          <w:rFonts w:hint="eastAsia" w:ascii="宋体" w:hAnsi="宋体" w:eastAsia="宋体" w:cs="宋体"/>
          <w:sz w:val="24"/>
          <w:szCs w:val="24"/>
        </w:rPr>
        <w:t xml:space="preserve">9 </w:t>
      </w:r>
      <w:r>
        <w:rPr>
          <w:rFonts w:hint="eastAsia" w:ascii="宋体" w:hAnsi="宋体" w:eastAsia="宋体" w:cs="宋体"/>
          <w:bCs/>
          <w:sz w:val="24"/>
          <w:szCs w:val="24"/>
          <w:highlight w:val="none"/>
          <w:lang w:val="en-US" w:eastAsia="zh-CN"/>
        </w:rPr>
        <w:t>: “2345”多主体协作框架下建设在线精品课程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_Toc10542 \h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r>
        <w:rPr>
          <w:rFonts w:hint="eastAsia" w:ascii="宋体" w:hAnsi="宋体" w:eastAsia="宋体" w:cs="宋体"/>
          <w:color w:val="auto"/>
          <w:sz w:val="24"/>
          <w:szCs w:val="24"/>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宋体" w:hAnsi="宋体" w:eastAsia="宋体" w:cs="宋体"/>
          <w:sz w:val="24"/>
          <w:szCs w:val="24"/>
        </w:rPr>
      </w:pPr>
      <w:r>
        <w:rPr>
          <w:rFonts w:hint="eastAsia" w:ascii="宋体" w:hAnsi="宋体" w:eastAsia="宋体" w:cs="宋体"/>
          <w:color w:val="auto"/>
          <w:sz w:val="24"/>
          <w:szCs w:val="24"/>
        </w:rPr>
        <w:fldChar w:fldCharType="begin"/>
      </w:r>
      <w:r>
        <w:rPr>
          <w:rFonts w:hint="eastAsia" w:ascii="宋体" w:hAnsi="宋体" w:eastAsia="宋体" w:cs="宋体"/>
          <w:sz w:val="24"/>
          <w:szCs w:val="24"/>
        </w:rPr>
        <w:instrText xml:space="preserve"> HYPERLINK \l _Toc5950 </w:instrText>
      </w:r>
      <w:r>
        <w:rPr>
          <w:rFonts w:hint="eastAsia" w:ascii="宋体" w:hAnsi="宋体" w:eastAsia="宋体" w:cs="宋体"/>
          <w:sz w:val="24"/>
          <w:szCs w:val="24"/>
        </w:rPr>
        <w:fldChar w:fldCharType="separate"/>
      </w:r>
      <w:r>
        <w:rPr>
          <w:rFonts w:hint="eastAsia" w:ascii="宋体" w:hAnsi="宋体" w:eastAsia="宋体" w:cs="宋体"/>
          <w:bCs/>
          <w:sz w:val="24"/>
          <w:szCs w:val="24"/>
          <w:highlight w:val="none"/>
          <w:lang w:val="en-US" w:eastAsia="zh-CN"/>
        </w:rPr>
        <w:t xml:space="preserve">案例 </w:t>
      </w:r>
      <w:r>
        <w:rPr>
          <w:rFonts w:hint="eastAsia" w:ascii="宋体" w:hAnsi="宋体" w:eastAsia="宋体" w:cs="宋体"/>
          <w:sz w:val="24"/>
          <w:szCs w:val="24"/>
        </w:rPr>
        <w:t xml:space="preserve">10 </w:t>
      </w:r>
      <w:r>
        <w:rPr>
          <w:rFonts w:hint="eastAsia" w:ascii="宋体" w:hAnsi="宋体" w:eastAsia="宋体" w:cs="宋体"/>
          <w:bCs/>
          <w:sz w:val="24"/>
          <w:szCs w:val="24"/>
          <w:highlight w:val="none"/>
          <w:lang w:val="en-US" w:eastAsia="zh-CN"/>
        </w:rPr>
        <w:t>：岗课赛证有效融通，技能舞台绽放光彩</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_Toc5950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color w:val="auto"/>
          <w:sz w:val="24"/>
          <w:szCs w:val="24"/>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宋体" w:hAnsi="宋体" w:eastAsia="宋体" w:cs="宋体"/>
          <w:sz w:val="24"/>
          <w:szCs w:val="24"/>
        </w:rPr>
      </w:pPr>
      <w:r>
        <w:rPr>
          <w:rFonts w:hint="eastAsia" w:ascii="宋体" w:hAnsi="宋体" w:eastAsia="宋体" w:cs="宋体"/>
          <w:color w:val="auto"/>
          <w:sz w:val="24"/>
          <w:szCs w:val="24"/>
        </w:rPr>
        <w:fldChar w:fldCharType="begin"/>
      </w:r>
      <w:r>
        <w:rPr>
          <w:rFonts w:hint="eastAsia" w:ascii="宋体" w:hAnsi="宋体" w:eastAsia="宋体" w:cs="宋体"/>
          <w:sz w:val="24"/>
          <w:szCs w:val="24"/>
        </w:rPr>
        <w:instrText xml:space="preserve"> HYPERLINK \l _Toc5376 </w:instrText>
      </w:r>
      <w:r>
        <w:rPr>
          <w:rFonts w:hint="eastAsia" w:ascii="宋体" w:hAnsi="宋体" w:eastAsia="宋体" w:cs="宋体"/>
          <w:sz w:val="24"/>
          <w:szCs w:val="24"/>
        </w:rPr>
        <w:fldChar w:fldCharType="separate"/>
      </w:r>
      <w:r>
        <w:rPr>
          <w:rFonts w:hint="eastAsia" w:ascii="宋体" w:hAnsi="宋体" w:eastAsia="宋体" w:cs="宋体"/>
          <w:bCs/>
          <w:sz w:val="24"/>
          <w:szCs w:val="24"/>
          <w:highlight w:val="none"/>
        </w:rPr>
        <w:t xml:space="preserve">案例 </w:t>
      </w:r>
      <w:r>
        <w:rPr>
          <w:rFonts w:hint="eastAsia" w:ascii="宋体" w:hAnsi="宋体" w:eastAsia="宋体" w:cs="宋体"/>
          <w:sz w:val="24"/>
          <w:szCs w:val="24"/>
        </w:rPr>
        <w:t xml:space="preserve">11 </w:t>
      </w:r>
      <w:r>
        <w:rPr>
          <w:rFonts w:hint="eastAsia" w:ascii="宋体" w:hAnsi="宋体" w:eastAsia="宋体" w:cs="宋体"/>
          <w:bCs/>
          <w:sz w:val="24"/>
          <w:szCs w:val="24"/>
          <w:highlight w:val="none"/>
          <w:lang w:val="en-US" w:eastAsia="zh-CN"/>
        </w:rPr>
        <w:t>：多措并举促进</w:t>
      </w:r>
      <w:r>
        <w:rPr>
          <w:rFonts w:hint="eastAsia" w:ascii="宋体" w:hAnsi="宋体" w:eastAsia="宋体" w:cs="宋体"/>
          <w:bCs/>
          <w:sz w:val="24"/>
          <w:szCs w:val="24"/>
          <w:highlight w:val="none"/>
        </w:rPr>
        <w:t>就业，就业效率</w:t>
      </w:r>
      <w:r>
        <w:rPr>
          <w:rFonts w:hint="eastAsia" w:ascii="宋体" w:hAnsi="宋体" w:eastAsia="宋体" w:cs="宋体"/>
          <w:bCs/>
          <w:sz w:val="24"/>
          <w:szCs w:val="24"/>
          <w:highlight w:val="none"/>
          <w:lang w:val="en-US" w:eastAsia="zh-CN"/>
        </w:rPr>
        <w:t>持续向好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_Toc5376 \h </w:instrText>
      </w:r>
      <w:r>
        <w:rPr>
          <w:rFonts w:hint="eastAsia" w:ascii="宋体" w:hAnsi="宋体" w:eastAsia="宋体" w:cs="宋体"/>
          <w:sz w:val="24"/>
          <w:szCs w:val="24"/>
        </w:rPr>
        <w:fldChar w:fldCharType="separate"/>
      </w:r>
      <w:r>
        <w:rPr>
          <w:rFonts w:hint="eastAsia" w:ascii="宋体" w:hAnsi="宋体" w:eastAsia="宋体" w:cs="宋体"/>
          <w:sz w:val="24"/>
          <w:szCs w:val="24"/>
        </w:rPr>
        <w:t>21</w:t>
      </w:r>
      <w:r>
        <w:rPr>
          <w:rFonts w:hint="eastAsia" w:ascii="宋体" w:hAnsi="宋体" w:eastAsia="宋体" w:cs="宋体"/>
          <w:sz w:val="24"/>
          <w:szCs w:val="24"/>
        </w:rPr>
        <w:fldChar w:fldCharType="end"/>
      </w:r>
      <w:r>
        <w:rPr>
          <w:rFonts w:hint="eastAsia" w:ascii="宋体" w:hAnsi="宋体" w:eastAsia="宋体" w:cs="宋体"/>
          <w:color w:val="auto"/>
          <w:sz w:val="24"/>
          <w:szCs w:val="24"/>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宋体" w:hAnsi="宋体" w:eastAsia="宋体" w:cs="宋体"/>
          <w:sz w:val="24"/>
          <w:szCs w:val="24"/>
        </w:rPr>
      </w:pPr>
      <w:r>
        <w:rPr>
          <w:rFonts w:hint="eastAsia" w:ascii="宋体" w:hAnsi="宋体" w:eastAsia="宋体" w:cs="宋体"/>
          <w:color w:val="auto"/>
          <w:sz w:val="24"/>
          <w:szCs w:val="24"/>
        </w:rPr>
        <w:fldChar w:fldCharType="begin"/>
      </w:r>
      <w:r>
        <w:rPr>
          <w:rFonts w:hint="eastAsia" w:ascii="宋体" w:hAnsi="宋体" w:eastAsia="宋体" w:cs="宋体"/>
          <w:sz w:val="24"/>
          <w:szCs w:val="24"/>
        </w:rPr>
        <w:instrText xml:space="preserve"> HYPERLINK \l _Toc14927 </w:instrText>
      </w:r>
      <w:r>
        <w:rPr>
          <w:rFonts w:hint="eastAsia" w:ascii="宋体" w:hAnsi="宋体" w:eastAsia="宋体" w:cs="宋体"/>
          <w:sz w:val="24"/>
          <w:szCs w:val="24"/>
        </w:rPr>
        <w:fldChar w:fldCharType="separate"/>
      </w:r>
      <w:r>
        <w:rPr>
          <w:rFonts w:hint="eastAsia" w:ascii="宋体" w:hAnsi="宋体" w:eastAsia="宋体" w:cs="宋体"/>
          <w:bCs/>
          <w:sz w:val="24"/>
          <w:szCs w:val="24"/>
          <w:highlight w:val="none"/>
        </w:rPr>
        <w:t xml:space="preserve">案例 </w:t>
      </w:r>
      <w:r>
        <w:rPr>
          <w:rFonts w:hint="eastAsia" w:ascii="宋体" w:hAnsi="宋体" w:eastAsia="宋体" w:cs="宋体"/>
          <w:sz w:val="24"/>
          <w:szCs w:val="24"/>
        </w:rPr>
        <w:t xml:space="preserve">12 </w:t>
      </w:r>
      <w:r>
        <w:rPr>
          <w:rFonts w:hint="eastAsia" w:ascii="宋体" w:hAnsi="宋体" w:eastAsia="宋体" w:cs="宋体"/>
          <w:bCs/>
          <w:sz w:val="24"/>
          <w:szCs w:val="24"/>
          <w:highlight w:val="none"/>
        </w:rPr>
        <w:t>：</w:t>
      </w:r>
      <w:r>
        <w:rPr>
          <w:rFonts w:hint="eastAsia" w:ascii="宋体" w:hAnsi="宋体" w:eastAsia="宋体" w:cs="宋体"/>
          <w:bCs/>
          <w:sz w:val="24"/>
          <w:szCs w:val="24"/>
          <w:highlight w:val="none"/>
          <w:lang w:val="en-US" w:eastAsia="zh-CN"/>
        </w:rPr>
        <w:t>多渠道提升学习能力</w:t>
      </w:r>
      <w:r>
        <w:rPr>
          <w:rFonts w:hint="eastAsia" w:ascii="宋体" w:hAnsi="宋体" w:eastAsia="宋体" w:cs="宋体"/>
          <w:bCs/>
          <w:sz w:val="24"/>
          <w:szCs w:val="24"/>
          <w:highlight w:val="none"/>
        </w:rPr>
        <w:t>，成就本科梦想</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_Toc14927 \h </w:instrText>
      </w:r>
      <w:r>
        <w:rPr>
          <w:rFonts w:hint="eastAsia" w:ascii="宋体" w:hAnsi="宋体" w:eastAsia="宋体" w:cs="宋体"/>
          <w:sz w:val="24"/>
          <w:szCs w:val="24"/>
        </w:rPr>
        <w:fldChar w:fldCharType="separate"/>
      </w:r>
      <w:r>
        <w:rPr>
          <w:rFonts w:hint="eastAsia" w:ascii="宋体" w:hAnsi="宋体" w:eastAsia="宋体" w:cs="宋体"/>
          <w:sz w:val="24"/>
          <w:szCs w:val="24"/>
        </w:rPr>
        <w:t>22</w:t>
      </w:r>
      <w:r>
        <w:rPr>
          <w:rFonts w:hint="eastAsia" w:ascii="宋体" w:hAnsi="宋体" w:eastAsia="宋体" w:cs="宋体"/>
          <w:sz w:val="24"/>
          <w:szCs w:val="24"/>
        </w:rPr>
        <w:fldChar w:fldCharType="end"/>
      </w:r>
      <w:r>
        <w:rPr>
          <w:rFonts w:hint="eastAsia" w:ascii="宋体" w:hAnsi="宋体" w:eastAsia="宋体" w:cs="宋体"/>
          <w:color w:val="auto"/>
          <w:sz w:val="24"/>
          <w:szCs w:val="24"/>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宋体" w:hAnsi="宋体" w:eastAsia="宋体" w:cs="宋体"/>
          <w:sz w:val="24"/>
          <w:szCs w:val="24"/>
        </w:rPr>
      </w:pPr>
      <w:r>
        <w:rPr>
          <w:rFonts w:hint="eastAsia" w:ascii="宋体" w:hAnsi="宋体" w:eastAsia="宋体" w:cs="宋体"/>
          <w:color w:val="auto"/>
          <w:sz w:val="24"/>
          <w:szCs w:val="24"/>
        </w:rPr>
        <w:fldChar w:fldCharType="begin"/>
      </w:r>
      <w:r>
        <w:rPr>
          <w:rFonts w:hint="eastAsia" w:ascii="宋体" w:hAnsi="宋体" w:eastAsia="宋体" w:cs="宋体"/>
          <w:sz w:val="24"/>
          <w:szCs w:val="24"/>
        </w:rPr>
        <w:instrText xml:space="preserve"> HYPERLINK \l _Toc13288 </w:instrText>
      </w:r>
      <w:r>
        <w:rPr>
          <w:rFonts w:hint="eastAsia" w:ascii="宋体" w:hAnsi="宋体" w:eastAsia="宋体" w:cs="宋体"/>
          <w:sz w:val="24"/>
          <w:szCs w:val="24"/>
        </w:rPr>
        <w:fldChar w:fldCharType="separate"/>
      </w:r>
      <w:r>
        <w:rPr>
          <w:rFonts w:hint="eastAsia" w:ascii="宋体" w:hAnsi="宋体" w:eastAsia="宋体" w:cs="宋体"/>
          <w:bCs/>
          <w:sz w:val="24"/>
          <w:szCs w:val="24"/>
          <w:highlight w:val="none"/>
        </w:rPr>
        <w:t xml:space="preserve">案例 </w:t>
      </w:r>
      <w:r>
        <w:rPr>
          <w:rFonts w:hint="eastAsia" w:ascii="宋体" w:hAnsi="宋体" w:eastAsia="宋体" w:cs="宋体"/>
          <w:sz w:val="24"/>
          <w:szCs w:val="24"/>
        </w:rPr>
        <w:t xml:space="preserve">13 </w:t>
      </w:r>
      <w:r>
        <w:rPr>
          <w:rFonts w:hint="eastAsia" w:ascii="宋体" w:hAnsi="宋体" w:eastAsia="宋体" w:cs="宋体"/>
          <w:bCs/>
          <w:sz w:val="24"/>
          <w:szCs w:val="24"/>
          <w:highlight w:val="none"/>
        </w:rPr>
        <w:t>：多措并举，提高就业指导效果</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_Toc13288 \h </w:instrText>
      </w:r>
      <w:r>
        <w:rPr>
          <w:rFonts w:hint="eastAsia" w:ascii="宋体" w:hAnsi="宋体" w:eastAsia="宋体" w:cs="宋体"/>
          <w:sz w:val="24"/>
          <w:szCs w:val="24"/>
        </w:rPr>
        <w:fldChar w:fldCharType="separate"/>
      </w:r>
      <w:r>
        <w:rPr>
          <w:rFonts w:hint="eastAsia" w:ascii="宋体" w:hAnsi="宋体" w:eastAsia="宋体" w:cs="宋体"/>
          <w:sz w:val="24"/>
          <w:szCs w:val="24"/>
        </w:rPr>
        <w:t>23</w:t>
      </w:r>
      <w:r>
        <w:rPr>
          <w:rFonts w:hint="eastAsia" w:ascii="宋体" w:hAnsi="宋体" w:eastAsia="宋体" w:cs="宋体"/>
          <w:sz w:val="24"/>
          <w:szCs w:val="24"/>
        </w:rPr>
        <w:fldChar w:fldCharType="end"/>
      </w:r>
      <w:r>
        <w:rPr>
          <w:rFonts w:hint="eastAsia" w:ascii="宋体" w:hAnsi="宋体" w:eastAsia="宋体" w:cs="宋体"/>
          <w:color w:val="auto"/>
          <w:sz w:val="24"/>
          <w:szCs w:val="24"/>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宋体" w:hAnsi="宋体" w:eastAsia="宋体" w:cs="宋体"/>
          <w:sz w:val="24"/>
          <w:szCs w:val="24"/>
        </w:rPr>
      </w:pPr>
      <w:r>
        <w:rPr>
          <w:rFonts w:hint="eastAsia" w:ascii="宋体" w:hAnsi="宋体" w:eastAsia="宋体" w:cs="宋体"/>
          <w:color w:val="auto"/>
          <w:sz w:val="24"/>
          <w:szCs w:val="24"/>
        </w:rPr>
        <w:fldChar w:fldCharType="begin"/>
      </w:r>
      <w:r>
        <w:rPr>
          <w:rFonts w:hint="eastAsia" w:ascii="宋体" w:hAnsi="宋体" w:eastAsia="宋体" w:cs="宋体"/>
          <w:sz w:val="24"/>
          <w:szCs w:val="24"/>
        </w:rPr>
        <w:instrText xml:space="preserve"> HYPERLINK \l _Toc15144 </w:instrText>
      </w:r>
      <w:r>
        <w:rPr>
          <w:rFonts w:hint="eastAsia" w:ascii="宋体" w:hAnsi="宋体" w:eastAsia="宋体" w:cs="宋体"/>
          <w:sz w:val="24"/>
          <w:szCs w:val="24"/>
        </w:rPr>
        <w:fldChar w:fldCharType="separate"/>
      </w:r>
      <w:r>
        <w:rPr>
          <w:rFonts w:hint="eastAsia" w:ascii="宋体" w:hAnsi="宋体" w:eastAsia="宋体" w:cs="宋体"/>
          <w:bCs/>
          <w:sz w:val="24"/>
          <w:szCs w:val="24"/>
          <w:highlight w:val="none"/>
        </w:rPr>
        <w:t xml:space="preserve">案例 </w:t>
      </w:r>
      <w:r>
        <w:rPr>
          <w:rFonts w:hint="eastAsia" w:ascii="宋体" w:hAnsi="宋体" w:eastAsia="宋体" w:cs="宋体"/>
          <w:sz w:val="24"/>
          <w:szCs w:val="24"/>
        </w:rPr>
        <w:t xml:space="preserve">14 </w:t>
      </w:r>
      <w:r>
        <w:rPr>
          <w:rFonts w:hint="eastAsia" w:ascii="宋体" w:hAnsi="宋体" w:eastAsia="宋体" w:cs="宋体"/>
          <w:bCs/>
          <w:sz w:val="24"/>
          <w:szCs w:val="24"/>
          <w:highlight w:val="none"/>
        </w:rPr>
        <w:t>：加强校企合</w:t>
      </w:r>
      <w:r>
        <w:rPr>
          <w:rFonts w:hint="eastAsia" w:ascii="宋体" w:hAnsi="宋体" w:eastAsia="宋体" w:cs="宋体"/>
          <w:bCs/>
          <w:sz w:val="24"/>
          <w:szCs w:val="24"/>
          <w:highlight w:val="none"/>
          <w:lang w:val="en-US" w:eastAsia="zh-CN"/>
        </w:rPr>
        <w:t>作</w:t>
      </w:r>
      <w:r>
        <w:rPr>
          <w:rFonts w:hint="eastAsia" w:ascii="宋体" w:hAnsi="宋体" w:eastAsia="宋体" w:cs="宋体"/>
          <w:bCs/>
          <w:sz w:val="24"/>
          <w:szCs w:val="24"/>
          <w:highlight w:val="none"/>
        </w:rPr>
        <w:t>，提升人才培养质量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_Toc15144 \h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color w:val="auto"/>
          <w:sz w:val="24"/>
          <w:szCs w:val="24"/>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宋体" w:hAnsi="宋体" w:eastAsia="宋体" w:cs="宋体"/>
          <w:sz w:val="24"/>
          <w:szCs w:val="24"/>
        </w:rPr>
      </w:pPr>
      <w:r>
        <w:rPr>
          <w:rFonts w:hint="eastAsia" w:ascii="宋体" w:hAnsi="宋体" w:eastAsia="宋体" w:cs="宋体"/>
          <w:color w:val="auto"/>
          <w:sz w:val="24"/>
          <w:szCs w:val="24"/>
        </w:rPr>
        <w:fldChar w:fldCharType="begin"/>
      </w:r>
      <w:r>
        <w:rPr>
          <w:rFonts w:hint="eastAsia" w:ascii="宋体" w:hAnsi="宋体" w:eastAsia="宋体" w:cs="宋体"/>
          <w:sz w:val="24"/>
          <w:szCs w:val="24"/>
        </w:rPr>
        <w:instrText xml:space="preserve"> HYPERLINK \l _Toc20635 </w:instrText>
      </w:r>
      <w:r>
        <w:rPr>
          <w:rFonts w:hint="eastAsia" w:ascii="宋体" w:hAnsi="宋体" w:eastAsia="宋体" w:cs="宋体"/>
          <w:sz w:val="24"/>
          <w:szCs w:val="24"/>
        </w:rPr>
        <w:fldChar w:fldCharType="separate"/>
      </w:r>
      <w:r>
        <w:rPr>
          <w:rFonts w:hint="eastAsia" w:ascii="宋体" w:hAnsi="宋体" w:eastAsia="宋体" w:cs="宋体"/>
          <w:bCs/>
          <w:sz w:val="24"/>
          <w:szCs w:val="24"/>
          <w:highlight w:val="none"/>
        </w:rPr>
        <w:t xml:space="preserve">案例 </w:t>
      </w:r>
      <w:r>
        <w:rPr>
          <w:rFonts w:hint="eastAsia" w:ascii="宋体" w:hAnsi="宋体" w:eastAsia="宋体" w:cs="宋体"/>
          <w:sz w:val="24"/>
          <w:szCs w:val="24"/>
        </w:rPr>
        <w:t xml:space="preserve">15 </w:t>
      </w:r>
      <w:r>
        <w:rPr>
          <w:rFonts w:hint="eastAsia" w:ascii="宋体" w:hAnsi="宋体" w:eastAsia="宋体" w:cs="宋体"/>
          <w:bCs/>
          <w:sz w:val="24"/>
          <w:szCs w:val="24"/>
          <w:highlight w:val="none"/>
        </w:rPr>
        <w:t>：弘扬雷锋精神，践行社会主义核心价值观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_Toc20635 \h </w:instrText>
      </w:r>
      <w:r>
        <w:rPr>
          <w:rFonts w:hint="eastAsia" w:ascii="宋体" w:hAnsi="宋体" w:eastAsia="宋体" w:cs="宋体"/>
          <w:sz w:val="24"/>
          <w:szCs w:val="24"/>
        </w:rPr>
        <w:fldChar w:fldCharType="separate"/>
      </w:r>
      <w:r>
        <w:rPr>
          <w:rFonts w:hint="eastAsia" w:ascii="宋体" w:hAnsi="宋体" w:eastAsia="宋体" w:cs="宋体"/>
          <w:sz w:val="24"/>
          <w:szCs w:val="24"/>
        </w:rPr>
        <w:t>32</w:t>
      </w:r>
      <w:r>
        <w:rPr>
          <w:rFonts w:hint="eastAsia" w:ascii="宋体" w:hAnsi="宋体" w:eastAsia="宋体" w:cs="宋体"/>
          <w:sz w:val="24"/>
          <w:szCs w:val="24"/>
        </w:rPr>
        <w:fldChar w:fldCharType="end"/>
      </w:r>
      <w:r>
        <w:rPr>
          <w:rFonts w:hint="eastAsia" w:ascii="宋体" w:hAnsi="宋体" w:eastAsia="宋体" w:cs="宋体"/>
          <w:color w:val="auto"/>
          <w:sz w:val="24"/>
          <w:szCs w:val="24"/>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宋体" w:hAnsi="宋体" w:eastAsia="宋体" w:cs="宋体"/>
          <w:sz w:val="24"/>
          <w:szCs w:val="24"/>
        </w:rPr>
      </w:pPr>
      <w:r>
        <w:rPr>
          <w:rFonts w:hint="eastAsia" w:ascii="宋体" w:hAnsi="宋体" w:eastAsia="宋体" w:cs="宋体"/>
          <w:color w:val="auto"/>
          <w:sz w:val="24"/>
          <w:szCs w:val="24"/>
        </w:rPr>
        <w:fldChar w:fldCharType="begin"/>
      </w:r>
      <w:r>
        <w:rPr>
          <w:rFonts w:hint="eastAsia" w:ascii="宋体" w:hAnsi="宋体" w:eastAsia="宋体" w:cs="宋体"/>
          <w:sz w:val="24"/>
          <w:szCs w:val="24"/>
        </w:rPr>
        <w:instrText xml:space="preserve"> HYPERLINK \l _Toc30778 </w:instrText>
      </w:r>
      <w:r>
        <w:rPr>
          <w:rFonts w:hint="eastAsia" w:ascii="宋体" w:hAnsi="宋体" w:eastAsia="宋体" w:cs="宋体"/>
          <w:sz w:val="24"/>
          <w:szCs w:val="24"/>
        </w:rPr>
        <w:fldChar w:fldCharType="separate"/>
      </w:r>
      <w:r>
        <w:rPr>
          <w:rFonts w:hint="eastAsia" w:ascii="宋体" w:hAnsi="宋体" w:eastAsia="宋体" w:cs="宋体"/>
          <w:bCs/>
          <w:sz w:val="24"/>
          <w:szCs w:val="24"/>
          <w:highlight w:val="none"/>
        </w:rPr>
        <w:t xml:space="preserve">案例 </w:t>
      </w:r>
      <w:r>
        <w:rPr>
          <w:rFonts w:hint="eastAsia" w:ascii="宋体" w:hAnsi="宋体" w:eastAsia="宋体" w:cs="宋体"/>
          <w:sz w:val="24"/>
          <w:szCs w:val="24"/>
        </w:rPr>
        <w:t xml:space="preserve">16 </w:t>
      </w:r>
      <w:r>
        <w:rPr>
          <w:rFonts w:hint="eastAsia" w:ascii="宋体" w:hAnsi="宋体" w:eastAsia="宋体" w:cs="宋体"/>
          <w:bCs/>
          <w:sz w:val="24"/>
          <w:szCs w:val="24"/>
          <w:highlight w:val="none"/>
        </w:rPr>
        <w:t>：构建“画唱讲演”文化育人模式，培养崇德尚美知行合一的时代新人</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_Toc30778 \h </w:instrText>
      </w:r>
      <w:r>
        <w:rPr>
          <w:rFonts w:hint="eastAsia" w:ascii="宋体" w:hAnsi="宋体" w:eastAsia="宋体" w:cs="宋体"/>
          <w:sz w:val="24"/>
          <w:szCs w:val="24"/>
        </w:rPr>
        <w:fldChar w:fldCharType="separate"/>
      </w:r>
      <w:r>
        <w:rPr>
          <w:rFonts w:hint="eastAsia" w:ascii="宋体" w:hAnsi="宋体" w:eastAsia="宋体" w:cs="宋体"/>
          <w:sz w:val="24"/>
          <w:szCs w:val="24"/>
        </w:rPr>
        <w:t>34</w:t>
      </w:r>
      <w:r>
        <w:rPr>
          <w:rFonts w:hint="eastAsia" w:ascii="宋体" w:hAnsi="宋体" w:eastAsia="宋体" w:cs="宋体"/>
          <w:sz w:val="24"/>
          <w:szCs w:val="24"/>
        </w:rPr>
        <w:fldChar w:fldCharType="end"/>
      </w:r>
      <w:r>
        <w:rPr>
          <w:rFonts w:hint="eastAsia" w:ascii="宋体" w:hAnsi="宋体" w:eastAsia="宋体" w:cs="宋体"/>
          <w:color w:val="auto"/>
          <w:sz w:val="24"/>
          <w:szCs w:val="24"/>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宋体" w:hAnsi="宋体" w:eastAsia="宋体" w:cs="宋体"/>
          <w:sz w:val="24"/>
          <w:szCs w:val="24"/>
        </w:rPr>
      </w:pPr>
      <w:r>
        <w:rPr>
          <w:rFonts w:hint="eastAsia" w:ascii="宋体" w:hAnsi="宋体" w:eastAsia="宋体" w:cs="宋体"/>
          <w:color w:val="auto"/>
          <w:sz w:val="24"/>
          <w:szCs w:val="24"/>
        </w:rPr>
        <w:fldChar w:fldCharType="begin"/>
      </w:r>
      <w:r>
        <w:rPr>
          <w:rFonts w:hint="eastAsia" w:ascii="宋体" w:hAnsi="宋体" w:eastAsia="宋体" w:cs="宋体"/>
          <w:sz w:val="24"/>
          <w:szCs w:val="24"/>
        </w:rPr>
        <w:instrText xml:space="preserve"> HYPERLINK \l _Toc27711 </w:instrText>
      </w:r>
      <w:r>
        <w:rPr>
          <w:rFonts w:hint="eastAsia" w:ascii="宋体" w:hAnsi="宋体" w:eastAsia="宋体" w:cs="宋体"/>
          <w:sz w:val="24"/>
          <w:szCs w:val="24"/>
        </w:rPr>
        <w:fldChar w:fldCharType="separate"/>
      </w:r>
      <w:r>
        <w:rPr>
          <w:rFonts w:hint="eastAsia" w:ascii="宋体" w:hAnsi="宋体" w:eastAsia="宋体" w:cs="宋体"/>
          <w:bCs/>
          <w:sz w:val="24"/>
          <w:szCs w:val="24"/>
          <w:highlight w:val="none"/>
        </w:rPr>
        <w:t xml:space="preserve">案例 </w:t>
      </w:r>
      <w:r>
        <w:rPr>
          <w:rFonts w:hint="eastAsia" w:ascii="宋体" w:hAnsi="宋体" w:eastAsia="宋体" w:cs="宋体"/>
          <w:sz w:val="24"/>
          <w:szCs w:val="24"/>
        </w:rPr>
        <w:t xml:space="preserve">17 </w:t>
      </w:r>
      <w:r>
        <w:rPr>
          <w:rFonts w:hint="eastAsia" w:ascii="宋体" w:hAnsi="宋体" w:eastAsia="宋体" w:cs="宋体"/>
          <w:bCs/>
          <w:sz w:val="24"/>
          <w:szCs w:val="24"/>
          <w:highlight w:val="none"/>
        </w:rPr>
        <w:t>：</w:t>
      </w:r>
      <w:r>
        <w:rPr>
          <w:rFonts w:hint="eastAsia" w:ascii="宋体" w:hAnsi="宋体" w:eastAsia="宋体" w:cs="宋体"/>
          <w:bCs/>
          <w:sz w:val="24"/>
          <w:szCs w:val="24"/>
          <w:highlight w:val="none"/>
          <w:lang w:val="en-US" w:eastAsia="zh-CN"/>
        </w:rPr>
        <w:t>张开飞翔翅膀</w:t>
      </w:r>
      <w:r>
        <w:rPr>
          <w:rFonts w:hint="eastAsia" w:ascii="宋体" w:hAnsi="宋体" w:eastAsia="宋体" w:cs="宋体"/>
          <w:bCs/>
          <w:sz w:val="24"/>
          <w:szCs w:val="24"/>
          <w:highlight w:val="none"/>
        </w:rPr>
        <w:t>，实现留学梦想</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_Toc27711 \h </w:instrText>
      </w:r>
      <w:r>
        <w:rPr>
          <w:rFonts w:hint="eastAsia" w:ascii="宋体" w:hAnsi="宋体" w:eastAsia="宋体" w:cs="宋体"/>
          <w:sz w:val="24"/>
          <w:szCs w:val="24"/>
        </w:rPr>
        <w:fldChar w:fldCharType="separate"/>
      </w:r>
      <w:r>
        <w:rPr>
          <w:rFonts w:hint="eastAsia" w:ascii="宋体" w:hAnsi="宋体" w:eastAsia="宋体" w:cs="宋体"/>
          <w:sz w:val="24"/>
          <w:szCs w:val="24"/>
        </w:rPr>
        <w:t>36</w:t>
      </w:r>
      <w:r>
        <w:rPr>
          <w:rFonts w:hint="eastAsia" w:ascii="宋体" w:hAnsi="宋体" w:eastAsia="宋体" w:cs="宋体"/>
          <w:sz w:val="24"/>
          <w:szCs w:val="24"/>
        </w:rPr>
        <w:fldChar w:fldCharType="end"/>
      </w:r>
      <w:r>
        <w:rPr>
          <w:rFonts w:hint="eastAsia" w:ascii="宋体" w:hAnsi="宋体" w:eastAsia="宋体" w:cs="宋体"/>
          <w:color w:val="auto"/>
          <w:sz w:val="24"/>
          <w:szCs w:val="24"/>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宋体" w:hAnsi="宋体" w:eastAsia="宋体" w:cs="宋体"/>
          <w:sz w:val="24"/>
          <w:szCs w:val="24"/>
        </w:rPr>
      </w:pPr>
      <w:r>
        <w:rPr>
          <w:rFonts w:hint="eastAsia" w:ascii="宋体" w:hAnsi="宋体" w:eastAsia="宋体" w:cs="宋体"/>
          <w:color w:val="auto"/>
          <w:sz w:val="24"/>
          <w:szCs w:val="24"/>
        </w:rPr>
        <w:fldChar w:fldCharType="begin"/>
      </w:r>
      <w:r>
        <w:rPr>
          <w:rFonts w:hint="eastAsia" w:ascii="宋体" w:hAnsi="宋体" w:eastAsia="宋体" w:cs="宋体"/>
          <w:sz w:val="24"/>
          <w:szCs w:val="24"/>
        </w:rPr>
        <w:instrText xml:space="preserve"> HYPERLINK \l _Toc9212 </w:instrText>
      </w:r>
      <w:r>
        <w:rPr>
          <w:rFonts w:hint="eastAsia" w:ascii="宋体" w:hAnsi="宋体" w:eastAsia="宋体" w:cs="宋体"/>
          <w:sz w:val="24"/>
          <w:szCs w:val="24"/>
        </w:rPr>
        <w:fldChar w:fldCharType="separate"/>
      </w:r>
      <w:r>
        <w:rPr>
          <w:rFonts w:hint="eastAsia" w:ascii="宋体" w:hAnsi="宋体" w:eastAsia="宋体" w:cs="宋体"/>
          <w:bCs/>
          <w:sz w:val="24"/>
          <w:szCs w:val="24"/>
          <w:highlight w:val="none"/>
        </w:rPr>
        <w:t xml:space="preserve">案例 </w:t>
      </w:r>
      <w:r>
        <w:rPr>
          <w:rFonts w:hint="eastAsia" w:ascii="宋体" w:hAnsi="宋体" w:eastAsia="宋体" w:cs="宋体"/>
          <w:sz w:val="24"/>
          <w:szCs w:val="24"/>
        </w:rPr>
        <w:t xml:space="preserve">18 </w:t>
      </w:r>
      <w:r>
        <w:rPr>
          <w:rFonts w:hint="eastAsia" w:ascii="宋体" w:hAnsi="宋体" w:eastAsia="宋体" w:cs="宋体"/>
          <w:bCs/>
          <w:sz w:val="24"/>
          <w:szCs w:val="24"/>
          <w:highlight w:val="none"/>
        </w:rPr>
        <w:t>：努力奋斗，圆梦日本留学</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_Toc9212 \h </w:instrText>
      </w:r>
      <w:r>
        <w:rPr>
          <w:rFonts w:hint="eastAsia" w:ascii="宋体" w:hAnsi="宋体" w:eastAsia="宋体" w:cs="宋体"/>
          <w:sz w:val="24"/>
          <w:szCs w:val="24"/>
        </w:rPr>
        <w:fldChar w:fldCharType="separate"/>
      </w:r>
      <w:r>
        <w:rPr>
          <w:rFonts w:hint="eastAsia" w:ascii="宋体" w:hAnsi="宋体" w:eastAsia="宋体" w:cs="宋体"/>
          <w:sz w:val="24"/>
          <w:szCs w:val="24"/>
        </w:rPr>
        <w:t>37</w:t>
      </w:r>
      <w:r>
        <w:rPr>
          <w:rFonts w:hint="eastAsia" w:ascii="宋体" w:hAnsi="宋体" w:eastAsia="宋体" w:cs="宋体"/>
          <w:sz w:val="24"/>
          <w:szCs w:val="24"/>
        </w:rPr>
        <w:fldChar w:fldCharType="end"/>
      </w:r>
      <w:r>
        <w:rPr>
          <w:rFonts w:hint="eastAsia" w:ascii="宋体" w:hAnsi="宋体" w:eastAsia="宋体" w:cs="宋体"/>
          <w:color w:val="auto"/>
          <w:sz w:val="24"/>
          <w:szCs w:val="24"/>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宋体" w:hAnsi="宋体" w:eastAsia="宋体" w:cs="宋体"/>
          <w:sz w:val="24"/>
          <w:szCs w:val="24"/>
        </w:rPr>
      </w:pPr>
      <w:r>
        <w:rPr>
          <w:rFonts w:hint="eastAsia" w:ascii="宋体" w:hAnsi="宋体" w:eastAsia="宋体" w:cs="宋体"/>
          <w:color w:val="auto"/>
          <w:sz w:val="24"/>
          <w:szCs w:val="24"/>
        </w:rPr>
        <w:fldChar w:fldCharType="begin"/>
      </w:r>
      <w:r>
        <w:rPr>
          <w:rFonts w:hint="eastAsia" w:ascii="宋体" w:hAnsi="宋体" w:eastAsia="宋体" w:cs="宋体"/>
          <w:sz w:val="24"/>
          <w:szCs w:val="24"/>
        </w:rPr>
        <w:instrText xml:space="preserve"> HYPERLINK \l _Toc13856 </w:instrText>
      </w:r>
      <w:r>
        <w:rPr>
          <w:rFonts w:hint="eastAsia" w:ascii="宋体" w:hAnsi="宋体" w:eastAsia="宋体" w:cs="宋体"/>
          <w:sz w:val="24"/>
          <w:szCs w:val="24"/>
        </w:rPr>
        <w:fldChar w:fldCharType="separate"/>
      </w:r>
      <w:r>
        <w:rPr>
          <w:rFonts w:hint="eastAsia" w:ascii="宋体" w:hAnsi="宋体" w:eastAsia="宋体" w:cs="宋体"/>
          <w:bCs/>
          <w:sz w:val="24"/>
          <w:szCs w:val="24"/>
          <w:highlight w:val="none"/>
        </w:rPr>
        <w:t xml:space="preserve">案例 </w:t>
      </w:r>
      <w:r>
        <w:rPr>
          <w:rFonts w:hint="eastAsia" w:ascii="宋体" w:hAnsi="宋体" w:eastAsia="宋体" w:cs="宋体"/>
          <w:sz w:val="24"/>
          <w:szCs w:val="24"/>
        </w:rPr>
        <w:t xml:space="preserve">19 </w:t>
      </w:r>
      <w:r>
        <w:rPr>
          <w:rFonts w:hint="eastAsia" w:ascii="宋体" w:hAnsi="宋体" w:eastAsia="宋体" w:cs="宋体"/>
          <w:bCs/>
          <w:sz w:val="24"/>
          <w:szCs w:val="24"/>
          <w:highlight w:val="none"/>
        </w:rPr>
        <w:t>：校企协同育人，岗课赛证融通培养</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_Toc13856 \h </w:instrText>
      </w:r>
      <w:r>
        <w:rPr>
          <w:rFonts w:hint="eastAsia" w:ascii="宋体" w:hAnsi="宋体" w:eastAsia="宋体" w:cs="宋体"/>
          <w:sz w:val="24"/>
          <w:szCs w:val="24"/>
        </w:rPr>
        <w:fldChar w:fldCharType="separate"/>
      </w:r>
      <w:r>
        <w:rPr>
          <w:rFonts w:hint="eastAsia" w:ascii="宋体" w:hAnsi="宋体" w:eastAsia="宋体" w:cs="宋体"/>
          <w:sz w:val="24"/>
          <w:szCs w:val="24"/>
        </w:rPr>
        <w:t>45</w:t>
      </w:r>
      <w:r>
        <w:rPr>
          <w:rFonts w:hint="eastAsia" w:ascii="宋体" w:hAnsi="宋体" w:eastAsia="宋体" w:cs="宋体"/>
          <w:sz w:val="24"/>
          <w:szCs w:val="24"/>
        </w:rPr>
        <w:fldChar w:fldCharType="end"/>
      </w:r>
      <w:r>
        <w:rPr>
          <w:rFonts w:hint="eastAsia" w:ascii="宋体" w:hAnsi="宋体" w:eastAsia="宋体" w:cs="宋体"/>
          <w:color w:val="auto"/>
          <w:sz w:val="24"/>
          <w:szCs w:val="24"/>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宋体" w:hAnsi="宋体" w:eastAsia="宋体" w:cs="宋体"/>
          <w:sz w:val="24"/>
          <w:szCs w:val="24"/>
        </w:rPr>
      </w:pPr>
      <w:r>
        <w:rPr>
          <w:rFonts w:hint="eastAsia" w:ascii="宋体" w:hAnsi="宋体" w:eastAsia="宋体" w:cs="宋体"/>
          <w:color w:val="auto"/>
          <w:sz w:val="24"/>
          <w:szCs w:val="24"/>
        </w:rPr>
        <w:fldChar w:fldCharType="begin"/>
      </w:r>
      <w:r>
        <w:rPr>
          <w:rFonts w:hint="eastAsia" w:ascii="宋体" w:hAnsi="宋体" w:eastAsia="宋体" w:cs="宋体"/>
          <w:sz w:val="24"/>
          <w:szCs w:val="24"/>
        </w:rPr>
        <w:instrText xml:space="preserve"> HYPERLINK \l _Toc6718 </w:instrText>
      </w:r>
      <w:r>
        <w:rPr>
          <w:rFonts w:hint="eastAsia" w:ascii="宋体" w:hAnsi="宋体" w:eastAsia="宋体" w:cs="宋体"/>
          <w:sz w:val="24"/>
          <w:szCs w:val="24"/>
        </w:rPr>
        <w:fldChar w:fldCharType="separate"/>
      </w:r>
      <w:r>
        <w:rPr>
          <w:rFonts w:hint="eastAsia" w:ascii="宋体" w:hAnsi="宋体" w:eastAsia="宋体" w:cs="宋体"/>
          <w:bCs/>
          <w:sz w:val="24"/>
          <w:szCs w:val="24"/>
          <w:highlight w:val="none"/>
        </w:rPr>
        <w:t xml:space="preserve">案例 </w:t>
      </w:r>
      <w:r>
        <w:rPr>
          <w:rFonts w:hint="eastAsia" w:ascii="宋体" w:hAnsi="宋体" w:eastAsia="宋体" w:cs="宋体"/>
          <w:sz w:val="24"/>
          <w:szCs w:val="24"/>
        </w:rPr>
        <w:t xml:space="preserve">20 </w:t>
      </w:r>
      <w:r>
        <w:rPr>
          <w:rFonts w:hint="eastAsia" w:ascii="宋体" w:hAnsi="宋体" w:eastAsia="宋体" w:cs="宋体"/>
          <w:bCs/>
          <w:sz w:val="24"/>
          <w:szCs w:val="24"/>
          <w:highlight w:val="none"/>
        </w:rPr>
        <w:t>：党建领航工程助力学校高质量发展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_Toc6718 \h </w:instrText>
      </w:r>
      <w:r>
        <w:rPr>
          <w:rFonts w:hint="eastAsia" w:ascii="宋体" w:hAnsi="宋体" w:eastAsia="宋体" w:cs="宋体"/>
          <w:sz w:val="24"/>
          <w:szCs w:val="24"/>
        </w:rPr>
        <w:fldChar w:fldCharType="separate"/>
      </w:r>
      <w:r>
        <w:rPr>
          <w:rFonts w:hint="eastAsia" w:ascii="宋体" w:hAnsi="宋体" w:eastAsia="宋体" w:cs="宋体"/>
          <w:sz w:val="24"/>
          <w:szCs w:val="24"/>
        </w:rPr>
        <w:t>48</w:t>
      </w:r>
      <w:r>
        <w:rPr>
          <w:rFonts w:hint="eastAsia" w:ascii="宋体" w:hAnsi="宋体" w:eastAsia="宋体" w:cs="宋体"/>
          <w:sz w:val="24"/>
          <w:szCs w:val="24"/>
        </w:rPr>
        <w:fldChar w:fldCharType="end"/>
      </w:r>
      <w:r>
        <w:rPr>
          <w:rFonts w:hint="eastAsia" w:ascii="宋体" w:hAnsi="宋体" w:eastAsia="宋体" w:cs="宋体"/>
          <w:color w:val="auto"/>
          <w:sz w:val="24"/>
          <w:szCs w:val="24"/>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hint="eastAsia" w:ascii="宋体" w:hAnsi="宋体" w:eastAsia="宋体" w:cs="宋体"/>
          <w:sz w:val="24"/>
          <w:szCs w:val="24"/>
        </w:rPr>
      </w:pPr>
      <w:r>
        <w:rPr>
          <w:rFonts w:hint="eastAsia" w:ascii="宋体" w:hAnsi="宋体" w:eastAsia="宋体" w:cs="宋体"/>
          <w:color w:val="auto"/>
          <w:sz w:val="24"/>
          <w:szCs w:val="24"/>
        </w:rPr>
        <w:fldChar w:fldCharType="begin"/>
      </w:r>
      <w:r>
        <w:rPr>
          <w:rFonts w:hint="eastAsia" w:ascii="宋体" w:hAnsi="宋体" w:eastAsia="宋体" w:cs="宋体"/>
          <w:sz w:val="24"/>
          <w:szCs w:val="24"/>
        </w:rPr>
        <w:instrText xml:space="preserve"> HYPERLINK \l _Toc11172 </w:instrText>
      </w:r>
      <w:r>
        <w:rPr>
          <w:rFonts w:hint="eastAsia" w:ascii="宋体" w:hAnsi="宋体" w:eastAsia="宋体" w:cs="宋体"/>
          <w:sz w:val="24"/>
          <w:szCs w:val="24"/>
        </w:rPr>
        <w:fldChar w:fldCharType="separate"/>
      </w:r>
      <w:r>
        <w:rPr>
          <w:rFonts w:hint="eastAsia" w:ascii="宋体" w:hAnsi="宋体" w:eastAsia="宋体" w:cs="宋体"/>
          <w:bCs/>
          <w:sz w:val="24"/>
          <w:szCs w:val="24"/>
          <w:highlight w:val="none"/>
        </w:rPr>
        <w:t xml:space="preserve">案例 </w:t>
      </w:r>
      <w:r>
        <w:rPr>
          <w:rFonts w:hint="eastAsia" w:ascii="宋体" w:hAnsi="宋体" w:eastAsia="宋体" w:cs="宋体"/>
          <w:sz w:val="24"/>
          <w:szCs w:val="24"/>
        </w:rPr>
        <w:t xml:space="preserve">21 </w:t>
      </w:r>
      <w:r>
        <w:rPr>
          <w:rFonts w:hint="eastAsia" w:ascii="宋体" w:hAnsi="宋体" w:eastAsia="宋体" w:cs="宋体"/>
          <w:bCs/>
          <w:sz w:val="24"/>
          <w:szCs w:val="24"/>
          <w:highlight w:val="none"/>
        </w:rPr>
        <w:t>：</w:t>
      </w:r>
      <w:r>
        <w:rPr>
          <w:rFonts w:hint="eastAsia" w:ascii="宋体" w:hAnsi="宋体" w:eastAsia="宋体" w:cs="宋体"/>
          <w:bCs/>
          <w:sz w:val="24"/>
          <w:szCs w:val="24"/>
          <w:highlight w:val="none"/>
          <w:lang w:val="en-US" w:eastAsia="zh-CN"/>
        </w:rPr>
        <w:t>完善</w:t>
      </w:r>
      <w:r>
        <w:rPr>
          <w:rFonts w:hint="eastAsia" w:ascii="宋体" w:hAnsi="宋体" w:eastAsia="宋体" w:cs="宋体"/>
          <w:bCs/>
          <w:sz w:val="24"/>
          <w:szCs w:val="24"/>
          <w:highlight w:val="none"/>
        </w:rPr>
        <w:t>“一卡两端三平台”</w:t>
      </w:r>
      <w:r>
        <w:rPr>
          <w:rFonts w:hint="eastAsia" w:ascii="宋体" w:hAnsi="宋体" w:eastAsia="宋体" w:cs="宋体"/>
          <w:bCs/>
          <w:sz w:val="24"/>
          <w:szCs w:val="24"/>
          <w:highlight w:val="none"/>
          <w:lang w:val="en-US" w:eastAsia="zh-CN"/>
        </w:rPr>
        <w:t>平台</w:t>
      </w:r>
      <w:r>
        <w:rPr>
          <w:rFonts w:hint="eastAsia" w:ascii="宋体" w:hAnsi="宋体" w:eastAsia="宋体" w:cs="宋体"/>
          <w:bCs/>
          <w:sz w:val="24"/>
          <w:szCs w:val="24"/>
          <w:highlight w:val="none"/>
        </w:rPr>
        <w:t>，实现师生“零跑腿”</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_Toc11172 \h </w:instrText>
      </w:r>
      <w:r>
        <w:rPr>
          <w:rFonts w:hint="eastAsia" w:ascii="宋体" w:hAnsi="宋体" w:eastAsia="宋体" w:cs="宋体"/>
          <w:sz w:val="24"/>
          <w:szCs w:val="24"/>
        </w:rPr>
        <w:fldChar w:fldCharType="separate"/>
      </w:r>
      <w:r>
        <w:rPr>
          <w:rFonts w:hint="eastAsia" w:ascii="宋体" w:hAnsi="宋体" w:eastAsia="宋体" w:cs="宋体"/>
          <w:sz w:val="24"/>
          <w:szCs w:val="24"/>
        </w:rPr>
        <w:t>52</w:t>
      </w:r>
      <w:r>
        <w:rPr>
          <w:rFonts w:hint="eastAsia" w:ascii="宋体" w:hAnsi="宋体" w:eastAsia="宋体" w:cs="宋体"/>
          <w:sz w:val="24"/>
          <w:szCs w:val="24"/>
        </w:rPr>
        <w:fldChar w:fldCharType="end"/>
      </w:r>
      <w:r>
        <w:rPr>
          <w:rFonts w:hint="eastAsia" w:ascii="宋体" w:hAnsi="宋体" w:eastAsia="宋体" w:cs="宋体"/>
          <w:color w:val="auto"/>
          <w:sz w:val="24"/>
          <w:szCs w:val="24"/>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pPr>
      <w:r>
        <w:rPr>
          <w:rFonts w:hint="eastAsia" w:ascii="宋体" w:hAnsi="宋体" w:eastAsia="宋体" w:cs="宋体"/>
          <w:color w:val="auto"/>
          <w:sz w:val="24"/>
          <w:szCs w:val="24"/>
        </w:rPr>
        <w:fldChar w:fldCharType="begin"/>
      </w:r>
      <w:r>
        <w:rPr>
          <w:rFonts w:hint="eastAsia" w:ascii="宋体" w:hAnsi="宋体" w:eastAsia="宋体" w:cs="宋体"/>
          <w:sz w:val="24"/>
          <w:szCs w:val="24"/>
        </w:rPr>
        <w:instrText xml:space="preserve"> HYPERLINK \l _Toc8123 </w:instrText>
      </w:r>
      <w:r>
        <w:rPr>
          <w:rFonts w:hint="eastAsia" w:ascii="宋体" w:hAnsi="宋体" w:eastAsia="宋体" w:cs="宋体"/>
          <w:sz w:val="24"/>
          <w:szCs w:val="24"/>
        </w:rPr>
        <w:fldChar w:fldCharType="separate"/>
      </w:r>
      <w:r>
        <w:rPr>
          <w:rFonts w:hint="eastAsia" w:ascii="宋体" w:hAnsi="宋体" w:eastAsia="宋体" w:cs="宋体"/>
          <w:bCs/>
          <w:sz w:val="24"/>
          <w:szCs w:val="24"/>
          <w:highlight w:val="none"/>
        </w:rPr>
        <w:t xml:space="preserve">案例 </w:t>
      </w:r>
      <w:r>
        <w:rPr>
          <w:rFonts w:hint="eastAsia" w:ascii="宋体" w:hAnsi="宋体" w:eastAsia="宋体" w:cs="宋体"/>
          <w:sz w:val="24"/>
          <w:szCs w:val="24"/>
        </w:rPr>
        <w:t xml:space="preserve">22 </w:t>
      </w:r>
      <w:r>
        <w:rPr>
          <w:rFonts w:hint="eastAsia" w:ascii="宋体" w:hAnsi="宋体" w:eastAsia="宋体" w:cs="宋体"/>
          <w:bCs/>
          <w:sz w:val="24"/>
          <w:szCs w:val="24"/>
          <w:highlight w:val="none"/>
        </w:rPr>
        <w:t>: 以1+X证书制度试点系统推进“三教改革”</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_Toc8123 \h </w:instrText>
      </w:r>
      <w:r>
        <w:rPr>
          <w:rFonts w:hint="eastAsia" w:ascii="宋体" w:hAnsi="宋体" w:eastAsia="宋体" w:cs="宋体"/>
          <w:sz w:val="24"/>
          <w:szCs w:val="24"/>
        </w:rPr>
        <w:fldChar w:fldCharType="separate"/>
      </w:r>
      <w:r>
        <w:rPr>
          <w:rFonts w:hint="eastAsia" w:ascii="宋体" w:hAnsi="宋体" w:eastAsia="宋体" w:cs="宋体"/>
          <w:sz w:val="24"/>
          <w:szCs w:val="24"/>
        </w:rPr>
        <w:t>58</w:t>
      </w:r>
      <w:r>
        <w:rPr>
          <w:rFonts w:hint="eastAsia" w:ascii="宋体" w:hAnsi="宋体" w:eastAsia="宋体" w:cs="宋体"/>
          <w:sz w:val="24"/>
          <w:szCs w:val="24"/>
        </w:rPr>
        <w:fldChar w:fldCharType="end"/>
      </w:r>
      <w:r>
        <w:rPr>
          <w:rFonts w:hint="eastAsia" w:ascii="宋体" w:hAnsi="宋体" w:eastAsia="宋体" w:cs="宋体"/>
          <w:color w:val="auto"/>
          <w:sz w:val="24"/>
          <w:szCs w:val="24"/>
        </w:rPr>
        <w:fldChar w:fldCharType="end"/>
      </w:r>
    </w:p>
    <w:p>
      <w:pPr>
        <w:keepNext w:val="0"/>
        <w:keepLines w:val="0"/>
        <w:pageBreakBefore w:val="0"/>
        <w:widowControl w:val="0"/>
        <w:kinsoku/>
        <w:wordWrap/>
        <w:overflowPunct/>
        <w:topLinePunct w:val="0"/>
        <w:autoSpaceDE/>
        <w:autoSpaceDN/>
        <w:bidi w:val="0"/>
        <w:adjustRightInd/>
        <w:snapToGrid/>
        <w:spacing w:before="95" w:beforeLines="30" w:after="95" w:afterLines="30"/>
        <w:ind w:leftChars="0" w:firstLine="0" w:firstLineChars="0"/>
        <w:textAlignment w:val="auto"/>
        <w:rPr>
          <w:rFonts w:hint="eastAsia" w:ascii="宋体" w:hAnsi="宋体" w:eastAsia="宋体" w:cs="宋体"/>
          <w:color w:val="4874CB" w:themeColor="accent1"/>
          <w14:textFill>
            <w14:solidFill>
              <w14:schemeClr w14:val="accent1"/>
            </w14:solidFill>
          </w14:textFill>
        </w:rPr>
      </w:pPr>
      <w:r>
        <w:rPr>
          <w:rFonts w:hint="eastAsia" w:ascii="宋体" w:hAnsi="宋体" w:eastAsia="宋体" w:cs="宋体"/>
          <w:color w:val="auto"/>
          <w:szCs w:val="24"/>
        </w:rPr>
        <w:fldChar w:fldCharType="end"/>
      </w:r>
    </w:p>
    <w:p>
      <w:pPr>
        <w:pStyle w:val="14"/>
        <w:keepNext w:val="0"/>
        <w:keepLines w:val="0"/>
        <w:pageBreakBefore w:val="0"/>
        <w:widowControl w:val="0"/>
        <w:tabs>
          <w:tab w:val="right" w:leader="dot" w:pos="8844"/>
        </w:tabs>
        <w:kinsoku/>
        <w:wordWrap/>
        <w:overflowPunct/>
        <w:topLinePunct w:val="0"/>
        <w:autoSpaceDE/>
        <w:autoSpaceDN/>
        <w:bidi w:val="0"/>
        <w:adjustRightInd/>
        <w:snapToGrid/>
        <w:spacing w:before="95" w:beforeLines="30" w:after="95" w:afterLines="30"/>
        <w:ind w:left="0" w:leftChars="0" w:firstLine="0" w:firstLineChars="0"/>
        <w:textAlignment w:val="auto"/>
        <w:rPr>
          <w:rFonts w:ascii="宋体" w:hAnsi="宋体" w:eastAsia="宋体" w:cs="宋体"/>
          <w:szCs w:val="32"/>
        </w:rPr>
        <w:sectPr>
          <w:headerReference r:id="rId4" w:type="first"/>
          <w:headerReference r:id="rId3" w:type="default"/>
          <w:footerReference r:id="rId5" w:type="default"/>
          <w:pgSz w:w="11906" w:h="16838"/>
          <w:pgMar w:top="1440" w:right="1531" w:bottom="1440" w:left="1531" w:header="851" w:footer="992" w:gutter="0"/>
          <w:pgBorders>
            <w:top w:val="none" w:sz="0" w:space="0"/>
            <w:left w:val="none" w:sz="0" w:space="0"/>
            <w:bottom w:val="none" w:sz="0" w:space="0"/>
            <w:right w:val="none" w:sz="0" w:space="0"/>
          </w:pgBorders>
          <w:pgNumType w:start="1"/>
          <w:cols w:space="425" w:num="1"/>
          <w:titlePg/>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outlineLvl w:val="0"/>
        <w:rPr>
          <w:rFonts w:hint="eastAsia" w:ascii="黑体" w:hAnsi="黑体" w:eastAsia="黑体" w:cs="黑体"/>
          <w:color w:val="A20000"/>
          <w:sz w:val="36"/>
          <w:szCs w:val="36"/>
        </w:rPr>
      </w:pPr>
      <w:bookmarkStart w:id="0" w:name="_Toc31815"/>
      <w:r>
        <w:rPr>
          <w:rFonts w:hint="eastAsia" w:ascii="黑体" w:hAnsi="黑体" w:eastAsia="黑体" w:cs="黑体"/>
          <w:color w:val="A20000"/>
          <w:sz w:val="36"/>
          <w:szCs w:val="36"/>
        </w:rPr>
        <w:t>1.人才培养</w:t>
      </w:r>
      <w:bookmarkEnd w:id="0"/>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为谁培养人、培养什么样的人、怎样培养人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是</w:t>
      </w:r>
      <w:r>
        <w:rPr>
          <w:rFonts w:hint="eastAsia" w:ascii="仿宋_GB2312" w:hAnsi="仿宋_GB2312" w:eastAsia="仿宋_GB2312" w:cs="仿宋_GB2312"/>
          <w:sz w:val="28"/>
          <w:szCs w:val="28"/>
          <w:lang w:val="en-US" w:eastAsia="zh-CN"/>
        </w:rPr>
        <w:t>教育</w:t>
      </w:r>
      <w:r>
        <w:rPr>
          <w:rFonts w:hint="eastAsia" w:ascii="仿宋_GB2312" w:hAnsi="仿宋_GB2312" w:eastAsia="仿宋_GB2312" w:cs="仿宋_GB2312"/>
          <w:sz w:val="28"/>
          <w:szCs w:val="28"/>
        </w:rPr>
        <w:t>的根本性问题。</w:t>
      </w:r>
      <w:r>
        <w:rPr>
          <w:rFonts w:hint="eastAsia" w:ascii="仿宋_GB2312" w:hAnsi="仿宋_GB2312" w:eastAsia="仿宋_GB2312" w:cs="仿宋_GB2312"/>
          <w:sz w:val="28"/>
          <w:szCs w:val="28"/>
          <w:lang w:val="en-US" w:eastAsia="zh-CN"/>
        </w:rPr>
        <w:t>山东省莱阳卫生学校</w:t>
      </w:r>
      <w:r>
        <w:rPr>
          <w:rFonts w:hint="eastAsia" w:ascii="仿宋_GB2312" w:hAnsi="仿宋_GB2312" w:eastAsia="仿宋_GB2312" w:cs="仿宋_GB2312"/>
          <w:sz w:val="28"/>
          <w:szCs w:val="28"/>
        </w:rPr>
        <w:t>坚持把立德树人作为根本任务，遵循</w:t>
      </w:r>
      <w:r>
        <w:rPr>
          <w:rFonts w:hint="eastAsia" w:ascii="仿宋_GB2312" w:hAnsi="仿宋_GB2312" w:eastAsia="仿宋_GB2312" w:cs="仿宋_GB2312"/>
          <w:sz w:val="28"/>
          <w:szCs w:val="28"/>
          <w:lang w:val="en-US" w:eastAsia="zh-CN"/>
        </w:rPr>
        <w:t>医学</w:t>
      </w:r>
      <w:r>
        <w:rPr>
          <w:rFonts w:hint="eastAsia" w:ascii="仿宋_GB2312" w:hAnsi="仿宋_GB2312" w:eastAsia="仿宋_GB2312" w:cs="仿宋_GB2312"/>
          <w:sz w:val="28"/>
          <w:szCs w:val="28"/>
        </w:rPr>
        <w:t>教育规律和</w:t>
      </w:r>
      <w:r>
        <w:rPr>
          <w:rFonts w:hint="eastAsia" w:ascii="仿宋_GB2312" w:hAnsi="仿宋_GB2312" w:eastAsia="仿宋_GB2312" w:cs="仿宋_GB2312"/>
          <w:sz w:val="28"/>
          <w:szCs w:val="28"/>
          <w:lang w:val="en-US" w:eastAsia="zh-CN"/>
        </w:rPr>
        <w:t>中职</w:t>
      </w:r>
      <w:r>
        <w:rPr>
          <w:rFonts w:hint="eastAsia" w:ascii="仿宋_GB2312" w:hAnsi="仿宋_GB2312" w:eastAsia="仿宋_GB2312" w:cs="仿宋_GB2312"/>
          <w:sz w:val="28"/>
          <w:szCs w:val="28"/>
        </w:rPr>
        <w:t>学生成长规律，</w:t>
      </w:r>
      <w:r>
        <w:rPr>
          <w:rFonts w:hint="eastAsia" w:ascii="仿宋_GB2312" w:hAnsi="仿宋_GB2312" w:eastAsia="仿宋_GB2312" w:cs="仿宋_GB2312"/>
          <w:sz w:val="28"/>
          <w:szCs w:val="28"/>
          <w:lang w:val="en-US" w:eastAsia="zh-CN"/>
        </w:rPr>
        <w:t>扎根基层，潜心办学，</w:t>
      </w:r>
      <w:r>
        <w:rPr>
          <w:rFonts w:hint="eastAsia" w:ascii="仿宋_GB2312" w:hAnsi="仿宋_GB2312" w:eastAsia="仿宋_GB2312" w:cs="仿宋_GB2312"/>
          <w:sz w:val="28"/>
          <w:szCs w:val="28"/>
        </w:rPr>
        <w:t>把</w:t>
      </w:r>
      <w:r>
        <w:rPr>
          <w:rFonts w:hint="eastAsia" w:ascii="仿宋_GB2312" w:hAnsi="仿宋_GB2312" w:eastAsia="仿宋_GB2312" w:cs="仿宋_GB2312"/>
          <w:sz w:val="28"/>
          <w:szCs w:val="28"/>
          <w:lang w:val="en-US" w:eastAsia="zh-CN"/>
        </w:rPr>
        <w:t>不断提升人才培养质量作为学校的生命线</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2022-2023学年，学校深入推进教育教学改革创新，构建大思政育人体系，在专业建设、课程建设、技能大赛、教材建设、数字资源建设等方面共同发力，努力培养医精德诚、知行合一，具有高尚医德和时代精神的基层健康守护人。</w:t>
      </w:r>
    </w:p>
    <w:p>
      <w:pPr>
        <w:pStyle w:val="3"/>
        <w:keepNext/>
        <w:keepLines/>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color w:val="A20000"/>
          <w:sz w:val="30"/>
          <w:szCs w:val="30"/>
        </w:rPr>
      </w:pPr>
      <w:bookmarkStart w:id="1" w:name="_Toc28299"/>
      <w:r>
        <w:rPr>
          <w:rFonts w:hint="eastAsia" w:ascii="黑体" w:hAnsi="黑体" w:eastAsia="黑体" w:cs="黑体"/>
          <w:color w:val="A20000"/>
          <w:sz w:val="30"/>
          <w:szCs w:val="30"/>
        </w:rPr>
        <w:t>1.</w:t>
      </w:r>
      <w:r>
        <w:rPr>
          <w:rFonts w:hint="eastAsia" w:ascii="黑体" w:hAnsi="黑体" w:eastAsia="黑体" w:cs="黑体"/>
          <w:color w:val="A20000"/>
          <w:sz w:val="30"/>
          <w:szCs w:val="30"/>
          <w:lang w:val="en-US" w:eastAsia="zh-CN"/>
        </w:rPr>
        <w:t>1</w:t>
      </w:r>
      <w:r>
        <w:rPr>
          <w:rFonts w:hint="eastAsia" w:ascii="黑体" w:hAnsi="黑体" w:eastAsia="黑体" w:cs="黑体"/>
          <w:color w:val="A20000"/>
          <w:sz w:val="30"/>
          <w:szCs w:val="30"/>
        </w:rPr>
        <w:t>立德树人</w:t>
      </w:r>
      <w:bookmarkEnd w:id="1"/>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
          <w:bCs/>
          <w:color w:val="A20000"/>
          <w:sz w:val="28"/>
          <w:szCs w:val="28"/>
        </w:rPr>
        <w:t>构建三全育人格局</w:t>
      </w:r>
      <w:r>
        <w:rPr>
          <w:rFonts w:hint="eastAsia" w:ascii="仿宋_GB2312" w:hAnsi="仿宋_GB2312" w:eastAsia="仿宋_GB2312" w:cs="仿宋_GB2312"/>
          <w:b/>
          <w:bCs/>
          <w:color w:val="A20000"/>
          <w:sz w:val="28"/>
          <w:szCs w:val="28"/>
          <w:lang w:eastAsia="zh-CN"/>
        </w:rPr>
        <w:t>。</w:t>
      </w:r>
      <w:r>
        <w:rPr>
          <w:rFonts w:hint="eastAsia" w:ascii="仿宋_GB2312" w:hAnsi="仿宋_GB2312" w:eastAsia="仿宋_GB2312" w:cs="仿宋_GB2312"/>
          <w:sz w:val="28"/>
          <w:szCs w:val="28"/>
          <w:lang w:val="en-US" w:eastAsia="zh-CN"/>
        </w:rPr>
        <w:t>山东省莱阳卫生学校全面落实立德树人根本任务，紧密结合“健康中国”国家战略需求，紧紧围绕“基层健康守护人”的培养目标，深入推进习近平新时代中国特色社会主义思想进教材、进课堂、进头脑，大力开展理想信念教育，积极培育和践行社会主义核心价值观，筑牢“大思政”育人主阵地，充分发挥思想政治课主渠道作用。广泛开展丰富多彩的校园文化活动和主题教育活动，努力营造全方位、立体化育人环境。着力构建三全育人格局，使每个学生都能在成长过程中得到关心和指导，引导学生坚定不移听党话、跟党走，努力培养德智体美劳全面发展的时代新人。学校参与完成的《“素养引领、德课融通、机制协同”中职学校课程德育模式的创新与实践》一同入选2022年职业教育国家级教学成果奖二等奖。调查数据显示，学生对思政课教学满意度99.72%。</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华文新魏" w:hAnsi="华文新魏" w:eastAsia="华文新魏" w:cs="华文新魏"/>
          <w:b/>
          <w:bCs/>
          <w:color w:val="A20000"/>
          <w:sz w:val="32"/>
          <w:szCs w:val="32"/>
          <w:highlight w:val="none"/>
          <w:lang w:val="en-US" w:eastAsia="zh-CN"/>
        </w:rPr>
      </w:pPr>
      <w:r>
        <w:rPr>
          <w:rFonts w:hint="eastAsia" w:ascii="华文新魏" w:hAnsi="华文新魏" w:eastAsia="华文新魏" w:cs="华文新魏"/>
          <w:b/>
          <w:bCs/>
          <w:color w:val="A20000"/>
          <w:sz w:val="32"/>
          <w:szCs w:val="32"/>
          <w:highlight w:val="none"/>
          <w:lang w:val="en-US" w:eastAsia="zh-CN"/>
        </w:rPr>
        <w:t xml:space="preserve">案例 </w:t>
      </w:r>
      <w:r>
        <w:rPr>
          <w:rFonts w:hint="eastAsia" w:ascii="华文新魏" w:hAnsi="华文新魏" w:eastAsia="华文新魏" w:cs="华文新魏"/>
          <w:b/>
          <w:bCs/>
          <w:color w:val="A20000"/>
          <w:sz w:val="32"/>
          <w:szCs w:val="32"/>
          <w:highlight w:val="none"/>
          <w:lang w:val="en-US" w:eastAsia="zh-CN"/>
        </w:rPr>
        <w:fldChar w:fldCharType="begin"/>
      </w:r>
      <w:r>
        <w:rPr>
          <w:rFonts w:hint="eastAsia" w:ascii="华文新魏" w:hAnsi="华文新魏" w:eastAsia="华文新魏" w:cs="华文新魏"/>
          <w:b/>
          <w:bCs/>
          <w:color w:val="A20000"/>
          <w:sz w:val="32"/>
          <w:szCs w:val="32"/>
          <w:highlight w:val="none"/>
          <w:lang w:val="en-US" w:eastAsia="zh-CN"/>
        </w:rPr>
        <w:instrText xml:space="preserve"> SEQ 案例 \* ARABIC </w:instrText>
      </w:r>
      <w:r>
        <w:rPr>
          <w:rFonts w:hint="eastAsia" w:ascii="华文新魏" w:hAnsi="华文新魏" w:eastAsia="华文新魏" w:cs="华文新魏"/>
          <w:b/>
          <w:bCs/>
          <w:color w:val="A20000"/>
          <w:sz w:val="32"/>
          <w:szCs w:val="32"/>
          <w:highlight w:val="none"/>
          <w:lang w:val="en-US" w:eastAsia="zh-CN"/>
        </w:rPr>
        <w:fldChar w:fldCharType="separate"/>
      </w:r>
      <w:r>
        <w:rPr>
          <w:rFonts w:hint="eastAsia" w:ascii="华文新魏" w:hAnsi="华文新魏" w:eastAsia="华文新魏" w:cs="华文新魏"/>
          <w:b/>
          <w:bCs/>
          <w:color w:val="A20000"/>
          <w:sz w:val="32"/>
          <w:szCs w:val="32"/>
          <w:highlight w:val="none"/>
          <w:lang w:val="en-US" w:eastAsia="zh-CN"/>
        </w:rPr>
        <w:t>1</w:t>
      </w:r>
      <w:r>
        <w:rPr>
          <w:rFonts w:hint="eastAsia" w:ascii="华文新魏" w:hAnsi="华文新魏" w:eastAsia="华文新魏" w:cs="华文新魏"/>
          <w:b/>
          <w:bCs/>
          <w:color w:val="A20000"/>
          <w:sz w:val="32"/>
          <w:szCs w:val="32"/>
          <w:highlight w:val="none"/>
          <w:lang w:val="en-US" w:eastAsia="zh-CN"/>
        </w:rPr>
        <w:fldChar w:fldCharType="end"/>
      </w:r>
      <w:bookmarkStart w:id="2" w:name="_Toc31230"/>
      <w:r>
        <w:rPr>
          <w:rFonts w:hint="eastAsia" w:ascii="华文新魏" w:hAnsi="华文新魏" w:eastAsia="华文新魏" w:cs="华文新魏"/>
          <w:b/>
          <w:bCs/>
          <w:color w:val="A20000"/>
          <w:sz w:val="32"/>
          <w:szCs w:val="32"/>
          <w:highlight w:val="none"/>
          <w:lang w:val="en-US" w:eastAsia="zh-CN"/>
        </w:rPr>
        <w:t>：构建健康育人新模式，培养基层健康守护人</w:t>
      </w:r>
      <w:bookmarkEnd w:id="2"/>
    </w:p>
    <w:p>
      <w:pPr>
        <w:keepNext w:val="0"/>
        <w:keepLines w:val="0"/>
        <w:pageBreakBefore w:val="0"/>
        <w:widowControl w:val="0"/>
        <w:kinsoku/>
        <w:wordWrap/>
        <w:overflowPunct/>
        <w:topLinePunct w:val="0"/>
        <w:autoSpaceDE/>
        <w:autoSpaceDN/>
        <w:bidi w:val="0"/>
        <w:adjustRightInd/>
        <w:snapToGrid/>
        <w:spacing w:after="157" w:afterLines="50" w:line="560" w:lineRule="exact"/>
        <w:ind w:firstLine="560" w:firstLineChars="200"/>
        <w:textAlignment w:val="auto"/>
        <w:rPr>
          <w:rFonts w:ascii="仿宋_GB2312" w:hAnsi="仿宋_GB2312" w:eastAsia="仿宋_GB2312" w:cs="仿宋_GB2312"/>
          <w:sz w:val="28"/>
          <w:szCs w:val="28"/>
        </w:rPr>
      </w:pPr>
      <w:r>
        <w:rPr>
          <w:rFonts w:hint="eastAsia" w:ascii="楷体" w:hAnsi="楷体" w:eastAsia="楷体" w:cs="楷体"/>
          <w:sz w:val="28"/>
          <w:szCs w:val="28"/>
        </w:rPr>
        <w:t>学校秉承“大健康”理念，构建了</w:t>
      </w:r>
      <w:r>
        <w:rPr>
          <w:rFonts w:hint="eastAsia" w:ascii="楷体" w:hAnsi="楷体" w:eastAsia="楷体" w:cs="楷体"/>
          <w:sz w:val="28"/>
          <w:szCs w:val="28"/>
          <w:highlight w:val="none"/>
          <w:lang w:val="en-US" w:eastAsia="zh-CN"/>
        </w:rPr>
        <w:t>健康为主体，</w:t>
      </w:r>
      <w:r>
        <w:rPr>
          <w:rFonts w:hint="eastAsia" w:ascii="楷体" w:hAnsi="楷体" w:eastAsia="楷体" w:cs="楷体"/>
          <w:sz w:val="28"/>
          <w:szCs w:val="28"/>
        </w:rPr>
        <w:t>学生管理和健康育人</w:t>
      </w:r>
      <w:r>
        <w:rPr>
          <w:rFonts w:hint="eastAsia" w:ascii="楷体" w:hAnsi="楷体" w:eastAsia="楷体" w:cs="楷体"/>
          <w:sz w:val="28"/>
          <w:szCs w:val="28"/>
          <w:lang w:val="en-US" w:eastAsia="zh-CN"/>
        </w:rPr>
        <w:t>为两翼，</w:t>
      </w:r>
      <w:r>
        <w:rPr>
          <w:rFonts w:hint="eastAsia" w:ascii="楷体" w:hAnsi="楷体" w:eastAsia="楷体" w:cs="楷体"/>
          <w:sz w:val="28"/>
          <w:szCs w:val="28"/>
        </w:rPr>
        <w:t>课堂教学、企业实训、校园文化、智慧校园、素质评价、社会实践</w:t>
      </w:r>
      <w:r>
        <w:rPr>
          <w:rFonts w:hint="eastAsia" w:ascii="楷体" w:hAnsi="楷体" w:eastAsia="楷体" w:cs="楷体"/>
          <w:sz w:val="28"/>
          <w:szCs w:val="28"/>
          <w:lang w:val="en-US" w:eastAsia="zh-CN"/>
        </w:rPr>
        <w:t>六个</w:t>
      </w:r>
      <w:r>
        <w:rPr>
          <w:rFonts w:hint="eastAsia" w:ascii="楷体" w:hAnsi="楷体" w:eastAsia="楷体" w:cs="楷体"/>
          <w:sz w:val="28"/>
          <w:szCs w:val="28"/>
        </w:rPr>
        <w:t>平台</w:t>
      </w:r>
      <w:r>
        <w:rPr>
          <w:rFonts w:hint="eastAsia" w:ascii="楷体" w:hAnsi="楷体" w:eastAsia="楷体" w:cs="楷体"/>
          <w:sz w:val="28"/>
          <w:szCs w:val="28"/>
          <w:lang w:eastAsia="zh-CN"/>
        </w:rPr>
        <w:t>的</w:t>
      </w:r>
      <w:r>
        <w:rPr>
          <w:rFonts w:hint="eastAsia" w:ascii="楷体" w:hAnsi="楷体" w:eastAsia="楷体" w:cs="楷体"/>
          <w:sz w:val="28"/>
          <w:szCs w:val="28"/>
          <w:highlight w:val="none"/>
        </w:rPr>
        <w:t>“一体.两翼.六平台”</w:t>
      </w:r>
      <w:r>
        <w:rPr>
          <w:rFonts w:hint="eastAsia" w:ascii="楷体" w:hAnsi="楷体" w:eastAsia="楷体" w:cs="楷体"/>
          <w:sz w:val="28"/>
          <w:szCs w:val="28"/>
        </w:rPr>
        <w:t>健康育人新模式，打造了“三阶段七环节课堂育人模型”“行为规范管理五步法模型”“班级文化建设要素分析模型”“双螺旋式校园治理模型”“一卡两端三平台智慧校园模型”“品管圈班级管理共建模型”六类学生管理建设模型等，形成了目标体系化、项目团队化、教学项目化、育人融合化、管理平台化、考核多元化“六化”评价模式，提升学生教育</w:t>
      </w:r>
      <w:r>
        <w:rPr>
          <w:rFonts w:hint="eastAsia" w:ascii="楷体" w:hAnsi="楷体" w:eastAsia="楷体" w:cs="楷体"/>
          <w:sz w:val="28"/>
          <w:szCs w:val="28"/>
          <w:lang w:val="en-US" w:eastAsia="zh-CN"/>
        </w:rPr>
        <w:t>管理的</w:t>
      </w:r>
      <w:r>
        <w:rPr>
          <w:rFonts w:hint="eastAsia" w:ascii="楷体" w:hAnsi="楷体" w:eastAsia="楷体" w:cs="楷体"/>
          <w:sz w:val="28"/>
          <w:szCs w:val="28"/>
        </w:rPr>
        <w:t>针对性和有效性，丰富“三全育人”成果，培养基层健康守护人。</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color w:val="A20000"/>
          <w:sz w:val="28"/>
          <w:szCs w:val="28"/>
        </w:rPr>
        <w:t>“五育并举”</w:t>
      </w:r>
      <w:r>
        <w:rPr>
          <w:rFonts w:hint="eastAsia" w:ascii="仿宋_GB2312" w:hAnsi="仿宋_GB2312" w:eastAsia="仿宋_GB2312" w:cs="仿宋_GB2312"/>
          <w:b/>
          <w:bCs/>
          <w:color w:val="A20000"/>
          <w:sz w:val="28"/>
          <w:szCs w:val="28"/>
          <w:lang w:val="en-US" w:eastAsia="zh-CN"/>
        </w:rPr>
        <w:t>守护</w:t>
      </w:r>
      <w:r>
        <w:rPr>
          <w:rFonts w:hint="eastAsia" w:ascii="仿宋_GB2312" w:hAnsi="仿宋_GB2312" w:eastAsia="仿宋_GB2312" w:cs="仿宋_GB2312"/>
          <w:b/>
          <w:bCs/>
          <w:color w:val="A20000"/>
          <w:sz w:val="28"/>
          <w:szCs w:val="28"/>
        </w:rPr>
        <w:t>心灵健康</w:t>
      </w:r>
      <w:r>
        <w:rPr>
          <w:rFonts w:hint="eastAsia" w:ascii="仿宋_GB2312" w:hAnsi="仿宋_GB2312" w:eastAsia="仿宋_GB2312" w:cs="仿宋_GB2312"/>
          <w:b/>
          <w:bCs/>
          <w:color w:val="A20000"/>
          <w:sz w:val="28"/>
          <w:szCs w:val="28"/>
          <w:lang w:eastAsia="zh-CN"/>
        </w:rPr>
        <w:t>。</w:t>
      </w:r>
      <w:r>
        <w:rPr>
          <w:rFonts w:hint="eastAsia" w:ascii="仿宋_GB2312" w:hAnsi="仿宋_GB2312" w:eastAsia="仿宋_GB2312" w:cs="仿宋_GB2312"/>
          <w:sz w:val="28"/>
          <w:szCs w:val="28"/>
          <w:lang w:val="en-US" w:eastAsia="zh-CN"/>
        </w:rPr>
        <w:t>学校积极构建德、智、体、美、劳五育并举新模式，将“五育”与心理健康教育相融合，与中职学生全面发展培养体系相融合，建立了完善的心理健康教育工作网络，积极探索中职学生“五育并举”的心理健康教育育人新模式。学校拥有专任教师142人，思政课专任教师10人，体育课专任教师6人，美育课专任教师5人，班主任48人，每名班主任都是合格的心理教师。学校牵头成立了山东积极心理学会中职学校学生心理发展指导专委会，连续三年被评为山东省中职学校</w:t>
      </w:r>
      <w:r>
        <w:rPr>
          <w:rFonts w:hint="eastAsia" w:ascii="仿宋_GB2312" w:hAnsi="仿宋_GB2312" w:eastAsia="仿宋_GB2312" w:cs="仿宋_GB2312"/>
          <w:sz w:val="28"/>
          <w:szCs w:val="28"/>
        </w:rPr>
        <w:t>心理健康教育工作先进单位。</w:t>
      </w:r>
      <w:r>
        <w:rPr>
          <w:rFonts w:hint="eastAsia" w:ascii="仿宋_GB2312" w:hAnsi="仿宋_GB2312" w:eastAsia="仿宋_GB2312" w:cs="仿宋_GB2312"/>
          <w:sz w:val="28"/>
          <w:szCs w:val="28"/>
          <w:lang w:val="en-US" w:eastAsia="zh-CN"/>
        </w:rPr>
        <w:t>2023年，学校在全省中职学校</w:t>
      </w:r>
      <w:r>
        <w:rPr>
          <w:rFonts w:hint="eastAsia" w:ascii="仿宋_GB2312" w:hAnsi="仿宋_GB2312" w:eastAsia="仿宋_GB2312" w:cs="仿宋_GB2312"/>
          <w:sz w:val="28"/>
          <w:szCs w:val="28"/>
        </w:rPr>
        <w:t>心理健康教育工作</w:t>
      </w:r>
      <w:r>
        <w:rPr>
          <w:rFonts w:hint="eastAsia" w:ascii="仿宋_GB2312" w:hAnsi="仿宋_GB2312" w:eastAsia="仿宋_GB2312" w:cs="仿宋_GB2312"/>
          <w:sz w:val="28"/>
          <w:szCs w:val="28"/>
          <w:lang w:val="en-US" w:eastAsia="zh-CN"/>
        </w:rPr>
        <w:t>会议和烟台市中职学校思政教学研讨会上做典型经验交流。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华文新魏" w:hAnsi="华文新魏" w:eastAsia="华文新魏" w:cs="华文新魏"/>
          <w:b/>
          <w:bCs/>
          <w:color w:val="A20000"/>
          <w:sz w:val="32"/>
          <w:szCs w:val="32"/>
          <w:highlight w:val="none"/>
          <w:lang w:val="en-US" w:eastAsia="zh-CN"/>
        </w:rPr>
      </w:pPr>
      <w:r>
        <w:rPr>
          <w:rFonts w:hint="eastAsia" w:ascii="华文新魏" w:hAnsi="华文新魏" w:eastAsia="华文新魏" w:cs="华文新魏"/>
          <w:b/>
          <w:bCs/>
          <w:color w:val="A20000"/>
          <w:sz w:val="32"/>
          <w:szCs w:val="32"/>
          <w:highlight w:val="none"/>
          <w:lang w:val="en-US" w:eastAsia="zh-CN"/>
        </w:rPr>
        <w:t xml:space="preserve">案例 </w:t>
      </w:r>
      <w:r>
        <w:rPr>
          <w:rFonts w:hint="eastAsia" w:ascii="华文新魏" w:hAnsi="华文新魏" w:eastAsia="华文新魏" w:cs="华文新魏"/>
          <w:b/>
          <w:bCs/>
          <w:color w:val="A20000"/>
          <w:sz w:val="32"/>
          <w:szCs w:val="32"/>
          <w:highlight w:val="none"/>
          <w:lang w:val="en-US" w:eastAsia="zh-CN"/>
        </w:rPr>
        <w:fldChar w:fldCharType="begin"/>
      </w:r>
      <w:r>
        <w:rPr>
          <w:rFonts w:hint="eastAsia" w:ascii="华文新魏" w:hAnsi="华文新魏" w:eastAsia="华文新魏" w:cs="华文新魏"/>
          <w:b/>
          <w:bCs/>
          <w:color w:val="A20000"/>
          <w:sz w:val="32"/>
          <w:szCs w:val="32"/>
          <w:highlight w:val="none"/>
          <w:lang w:val="en-US" w:eastAsia="zh-CN"/>
        </w:rPr>
        <w:instrText xml:space="preserve"> SEQ 案例 \* ARABIC </w:instrText>
      </w:r>
      <w:r>
        <w:rPr>
          <w:rFonts w:hint="eastAsia" w:ascii="华文新魏" w:hAnsi="华文新魏" w:eastAsia="华文新魏" w:cs="华文新魏"/>
          <w:b/>
          <w:bCs/>
          <w:color w:val="A20000"/>
          <w:sz w:val="32"/>
          <w:szCs w:val="32"/>
          <w:highlight w:val="none"/>
          <w:lang w:val="en-US" w:eastAsia="zh-CN"/>
        </w:rPr>
        <w:fldChar w:fldCharType="separate"/>
      </w:r>
      <w:r>
        <w:rPr>
          <w:rFonts w:hint="eastAsia" w:ascii="华文新魏" w:hAnsi="华文新魏" w:eastAsia="华文新魏" w:cs="华文新魏"/>
          <w:b/>
          <w:bCs/>
          <w:color w:val="A20000"/>
          <w:sz w:val="32"/>
          <w:szCs w:val="32"/>
          <w:highlight w:val="none"/>
          <w:lang w:val="en-US" w:eastAsia="zh-CN"/>
        </w:rPr>
        <w:t>2</w:t>
      </w:r>
      <w:r>
        <w:rPr>
          <w:rFonts w:hint="eastAsia" w:ascii="华文新魏" w:hAnsi="华文新魏" w:eastAsia="华文新魏" w:cs="华文新魏"/>
          <w:b/>
          <w:bCs/>
          <w:color w:val="A20000"/>
          <w:sz w:val="32"/>
          <w:szCs w:val="32"/>
          <w:highlight w:val="none"/>
          <w:lang w:val="en-US" w:eastAsia="zh-CN"/>
        </w:rPr>
        <w:fldChar w:fldCharType="end"/>
      </w:r>
      <w:bookmarkStart w:id="3" w:name="_Toc25348"/>
      <w:r>
        <w:rPr>
          <w:rFonts w:hint="eastAsia" w:ascii="华文新魏" w:hAnsi="华文新魏" w:eastAsia="华文新魏" w:cs="华文新魏"/>
          <w:b/>
          <w:bCs/>
          <w:color w:val="A20000"/>
          <w:sz w:val="32"/>
          <w:szCs w:val="32"/>
          <w:highlight w:val="none"/>
          <w:lang w:val="en-US" w:eastAsia="zh-CN"/>
        </w:rPr>
        <w:t>：全面加强心理健康教育，共促学生幸福成长</w:t>
      </w:r>
      <w:bookmarkEnd w:id="3"/>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rPr>
      </w:pPr>
      <w:r>
        <w:rPr>
          <w:rFonts w:hint="eastAsia" w:ascii="楷体" w:hAnsi="楷体" w:eastAsia="楷体" w:cs="楷体"/>
          <w:sz w:val="28"/>
          <w:szCs w:val="28"/>
        </w:rPr>
        <w:t>学校以积极心理学为指导，秉承“‘医’心‘卫’你，幸福成长”的</w:t>
      </w:r>
      <w:r>
        <w:rPr>
          <w:rFonts w:hint="eastAsia" w:ascii="楷体" w:hAnsi="楷体" w:eastAsia="楷体" w:cs="楷体"/>
          <w:sz w:val="28"/>
          <w:szCs w:val="28"/>
          <w:lang w:val="en-US" w:eastAsia="zh-CN"/>
        </w:rPr>
        <w:t>心理教育</w:t>
      </w:r>
      <w:r>
        <w:rPr>
          <w:rFonts w:hint="eastAsia" w:ascii="楷体" w:hAnsi="楷体" w:eastAsia="楷体" w:cs="楷体"/>
          <w:sz w:val="28"/>
          <w:szCs w:val="28"/>
        </w:rPr>
        <w:t>工作理念，构建“四心协同”工作体系。</w:t>
      </w:r>
      <w:r>
        <w:rPr>
          <w:rFonts w:hint="eastAsia" w:ascii="楷体" w:hAnsi="楷体" w:eastAsia="楷体" w:cs="楷体"/>
          <w:sz w:val="28"/>
          <w:szCs w:val="28"/>
          <w:lang w:eastAsia="zh-CN"/>
        </w:rPr>
        <w:t>“</w:t>
      </w:r>
      <w:r>
        <w:rPr>
          <w:rFonts w:hint="eastAsia" w:ascii="楷体" w:hAnsi="楷体" w:eastAsia="楷体" w:cs="楷体"/>
          <w:sz w:val="28"/>
          <w:szCs w:val="28"/>
        </w:rPr>
        <w:t>保障筑心</w:t>
      </w:r>
      <w:r>
        <w:rPr>
          <w:rFonts w:hint="eastAsia" w:ascii="楷体" w:hAnsi="楷体" w:eastAsia="楷体" w:cs="楷体"/>
          <w:sz w:val="28"/>
          <w:szCs w:val="28"/>
          <w:lang w:eastAsia="zh-CN"/>
        </w:rPr>
        <w:t>”，</w:t>
      </w:r>
      <w:r>
        <w:rPr>
          <w:rFonts w:hint="eastAsia" w:ascii="楷体" w:hAnsi="楷体" w:eastAsia="楷体" w:cs="楷体"/>
          <w:sz w:val="28"/>
          <w:szCs w:val="28"/>
        </w:rPr>
        <w:t>健全组织、机制，设施，队伍四保障，搭建“心理健康工作组—心理健康教育中心—班主任、任课教师—心委朋辈互助“四位一体心育工作网络，确保心理育人全员参与、全过程衔接、全方位覆盖。</w:t>
      </w:r>
      <w:r>
        <w:rPr>
          <w:rFonts w:hint="eastAsia" w:ascii="楷体" w:hAnsi="楷体" w:eastAsia="楷体" w:cs="楷体"/>
          <w:sz w:val="28"/>
          <w:szCs w:val="28"/>
          <w:lang w:eastAsia="zh-CN"/>
        </w:rPr>
        <w:t>“</w:t>
      </w:r>
      <w:r>
        <w:rPr>
          <w:rFonts w:hint="eastAsia" w:ascii="楷体" w:hAnsi="楷体" w:eastAsia="楷体" w:cs="楷体"/>
          <w:sz w:val="28"/>
          <w:szCs w:val="28"/>
        </w:rPr>
        <w:t>专业领心</w:t>
      </w:r>
      <w:r>
        <w:rPr>
          <w:rFonts w:hint="eastAsia" w:ascii="楷体" w:hAnsi="楷体" w:eastAsia="楷体" w:cs="楷体"/>
          <w:sz w:val="28"/>
          <w:szCs w:val="28"/>
          <w:lang w:eastAsia="zh-CN"/>
        </w:rPr>
        <w:t>”，</w:t>
      </w:r>
      <w:r>
        <w:rPr>
          <w:rFonts w:hint="eastAsia" w:ascii="楷体" w:hAnsi="楷体" w:eastAsia="楷体" w:cs="楷体"/>
          <w:sz w:val="28"/>
          <w:szCs w:val="28"/>
        </w:rPr>
        <w:t>新课标引领，开设特色心理课程；科研率领，</w:t>
      </w:r>
      <w:r>
        <w:rPr>
          <w:rFonts w:hint="eastAsia" w:ascii="楷体" w:hAnsi="楷体" w:eastAsia="楷体" w:cs="楷体"/>
          <w:sz w:val="28"/>
          <w:szCs w:val="28"/>
          <w:lang w:val="en-US" w:eastAsia="zh-CN"/>
        </w:rPr>
        <w:t>开展相关课题研究；</w:t>
      </w:r>
      <w:r>
        <w:rPr>
          <w:rFonts w:hint="eastAsia" w:ascii="楷体" w:hAnsi="楷体" w:eastAsia="楷体" w:cs="楷体"/>
          <w:sz w:val="28"/>
          <w:szCs w:val="28"/>
        </w:rPr>
        <w:t>专委会带领，牵头成立山东积极心理学会中职学校学生心理发展指导专委会，系统提升</w:t>
      </w:r>
      <w:r>
        <w:rPr>
          <w:rFonts w:hint="eastAsia" w:ascii="楷体" w:hAnsi="楷体" w:eastAsia="楷体" w:cs="楷体"/>
          <w:sz w:val="28"/>
          <w:szCs w:val="28"/>
          <w:lang w:val="en-US" w:eastAsia="zh-CN"/>
        </w:rPr>
        <w:t>心理健康</w:t>
      </w:r>
      <w:r>
        <w:rPr>
          <w:rFonts w:hint="eastAsia" w:ascii="楷体" w:hAnsi="楷体" w:eastAsia="楷体" w:cs="楷体"/>
          <w:sz w:val="28"/>
          <w:szCs w:val="28"/>
        </w:rPr>
        <w:t>工作</w:t>
      </w:r>
      <w:r>
        <w:rPr>
          <w:rFonts w:hint="eastAsia" w:ascii="楷体" w:hAnsi="楷体" w:eastAsia="楷体" w:cs="楷体"/>
          <w:sz w:val="28"/>
          <w:szCs w:val="28"/>
          <w:lang w:val="en-US" w:eastAsia="zh-CN"/>
        </w:rPr>
        <w:t>的</w:t>
      </w:r>
      <w:r>
        <w:rPr>
          <w:rFonts w:hint="eastAsia" w:ascii="楷体" w:hAnsi="楷体" w:eastAsia="楷体" w:cs="楷体"/>
          <w:sz w:val="28"/>
          <w:szCs w:val="28"/>
        </w:rPr>
        <w:t>专业化水平。</w:t>
      </w:r>
      <w:r>
        <w:rPr>
          <w:rFonts w:hint="eastAsia" w:ascii="楷体" w:hAnsi="楷体" w:eastAsia="楷体" w:cs="楷体"/>
          <w:sz w:val="28"/>
          <w:szCs w:val="28"/>
          <w:lang w:eastAsia="zh-CN"/>
        </w:rPr>
        <w:t>“</w:t>
      </w:r>
      <w:r>
        <w:rPr>
          <w:rFonts w:hint="eastAsia" w:ascii="楷体" w:hAnsi="楷体" w:eastAsia="楷体" w:cs="楷体"/>
          <w:sz w:val="28"/>
          <w:szCs w:val="28"/>
        </w:rPr>
        <w:t>活动健心</w:t>
      </w:r>
      <w:r>
        <w:rPr>
          <w:rFonts w:hint="eastAsia" w:ascii="楷体" w:hAnsi="楷体" w:eastAsia="楷体" w:cs="楷体"/>
          <w:sz w:val="28"/>
          <w:szCs w:val="28"/>
          <w:lang w:eastAsia="zh-CN"/>
        </w:rPr>
        <w:t>”，</w:t>
      </w:r>
      <w:r>
        <w:rPr>
          <w:rFonts w:hint="eastAsia" w:ascii="楷体" w:hAnsi="楷体" w:eastAsia="楷体" w:cs="楷体"/>
          <w:sz w:val="28"/>
          <w:szCs w:val="28"/>
        </w:rPr>
        <w:t>重点开展“心晴四季”之春华生心、夏荫沁心、秋实丰心、冬阳暖心系列主题健心活动，</w:t>
      </w:r>
      <w:r>
        <w:rPr>
          <w:rFonts w:hint="eastAsia" w:ascii="楷体" w:hAnsi="楷体" w:eastAsia="楷体" w:cs="楷体"/>
          <w:sz w:val="28"/>
          <w:szCs w:val="28"/>
          <w:lang w:val="en-US" w:eastAsia="zh-CN"/>
        </w:rPr>
        <w:t>涵盖</w:t>
      </w:r>
      <w:r>
        <w:rPr>
          <w:rFonts w:hint="eastAsia" w:ascii="楷体" w:hAnsi="楷体" w:eastAsia="楷体" w:cs="楷体"/>
          <w:sz w:val="28"/>
          <w:szCs w:val="28"/>
        </w:rPr>
        <w:t>“3.25善爱我日”</w:t>
      </w:r>
      <w:r>
        <w:rPr>
          <w:rFonts w:hint="eastAsia" w:ascii="楷体" w:hAnsi="楷体" w:eastAsia="楷体" w:cs="楷体"/>
          <w:sz w:val="28"/>
          <w:szCs w:val="28"/>
          <w:lang w:eastAsia="zh-CN"/>
        </w:rPr>
        <w:t>、</w:t>
      </w:r>
      <w:r>
        <w:rPr>
          <w:rFonts w:hint="eastAsia" w:ascii="楷体" w:hAnsi="楷体" w:eastAsia="楷体" w:cs="楷体"/>
          <w:sz w:val="28"/>
          <w:szCs w:val="28"/>
        </w:rPr>
        <w:t>“5.25心理健康日”</w:t>
      </w:r>
      <w:r>
        <w:rPr>
          <w:rFonts w:hint="eastAsia" w:ascii="楷体" w:hAnsi="楷体" w:eastAsia="楷体" w:cs="楷体"/>
          <w:sz w:val="28"/>
          <w:szCs w:val="28"/>
          <w:lang w:eastAsia="zh-CN"/>
        </w:rPr>
        <w:t>、</w:t>
      </w:r>
      <w:r>
        <w:rPr>
          <w:rFonts w:hint="eastAsia" w:ascii="楷体" w:hAnsi="楷体" w:eastAsia="楷体" w:cs="楷体"/>
          <w:sz w:val="28"/>
          <w:szCs w:val="28"/>
        </w:rPr>
        <w:t>考试季</w:t>
      </w:r>
      <w:r>
        <w:rPr>
          <w:rFonts w:hint="eastAsia" w:ascii="楷体" w:hAnsi="楷体" w:eastAsia="楷体" w:cs="楷体"/>
          <w:sz w:val="28"/>
          <w:szCs w:val="28"/>
          <w:lang w:eastAsia="zh-CN"/>
        </w:rPr>
        <w:t>、</w:t>
      </w:r>
      <w:r>
        <w:rPr>
          <w:rFonts w:hint="eastAsia" w:ascii="楷体" w:hAnsi="楷体" w:eastAsia="楷体" w:cs="楷体"/>
          <w:sz w:val="28"/>
          <w:szCs w:val="28"/>
        </w:rPr>
        <w:t>毕业季</w:t>
      </w:r>
      <w:r>
        <w:rPr>
          <w:rFonts w:hint="eastAsia" w:ascii="楷体" w:hAnsi="楷体" w:eastAsia="楷体" w:cs="楷体"/>
          <w:sz w:val="28"/>
          <w:szCs w:val="28"/>
          <w:lang w:eastAsia="zh-CN"/>
        </w:rPr>
        <w:t>、</w:t>
      </w:r>
      <w:r>
        <w:rPr>
          <w:rFonts w:hint="eastAsia" w:ascii="楷体" w:hAnsi="楷体" w:eastAsia="楷体" w:cs="楷体"/>
          <w:sz w:val="28"/>
          <w:szCs w:val="28"/>
        </w:rPr>
        <w:t>新生入学适应</w:t>
      </w:r>
      <w:r>
        <w:rPr>
          <w:rFonts w:hint="eastAsia" w:ascii="楷体" w:hAnsi="楷体" w:eastAsia="楷体" w:cs="楷体"/>
          <w:sz w:val="28"/>
          <w:szCs w:val="28"/>
          <w:lang w:eastAsia="zh-CN"/>
        </w:rPr>
        <w:t>、</w:t>
      </w:r>
      <w:r>
        <w:rPr>
          <w:rFonts w:hint="eastAsia" w:ascii="楷体" w:hAnsi="楷体" w:eastAsia="楷体" w:cs="楷体"/>
          <w:sz w:val="28"/>
          <w:szCs w:val="28"/>
        </w:rPr>
        <w:t>榜样示范引领</w:t>
      </w:r>
      <w:r>
        <w:rPr>
          <w:rFonts w:hint="eastAsia" w:ascii="楷体" w:hAnsi="楷体" w:eastAsia="楷体" w:cs="楷体"/>
          <w:sz w:val="28"/>
          <w:szCs w:val="28"/>
          <w:lang w:eastAsia="zh-CN"/>
        </w:rPr>
        <w:t>、</w:t>
      </w:r>
      <w:r>
        <w:rPr>
          <w:rFonts w:hint="eastAsia" w:ascii="楷体" w:hAnsi="楷体" w:eastAsia="楷体" w:cs="楷体"/>
          <w:sz w:val="28"/>
          <w:szCs w:val="28"/>
        </w:rPr>
        <w:t>“一对一”心理帮扶</w:t>
      </w:r>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班级大家庭</w:t>
      </w:r>
      <w:r>
        <w:rPr>
          <w:rFonts w:hint="eastAsia" w:ascii="楷体" w:hAnsi="楷体" w:eastAsia="楷体" w:cs="楷体"/>
          <w:sz w:val="28"/>
          <w:szCs w:val="28"/>
        </w:rPr>
        <w:t>温暖你我，不断拓展心育活动全程陪伴新路径，全方位提升学生心理素养。</w:t>
      </w:r>
      <w:r>
        <w:rPr>
          <w:rFonts w:hint="eastAsia" w:ascii="楷体" w:hAnsi="楷体" w:eastAsia="楷体" w:cs="楷体"/>
          <w:sz w:val="28"/>
          <w:szCs w:val="28"/>
          <w:lang w:eastAsia="zh-CN"/>
        </w:rPr>
        <w:t>“</w:t>
      </w:r>
      <w:r>
        <w:rPr>
          <w:rFonts w:hint="eastAsia" w:ascii="楷体" w:hAnsi="楷体" w:eastAsia="楷体" w:cs="楷体"/>
          <w:sz w:val="28"/>
          <w:szCs w:val="28"/>
        </w:rPr>
        <w:t>干预守心</w:t>
      </w:r>
      <w:r>
        <w:rPr>
          <w:rFonts w:hint="eastAsia" w:ascii="楷体" w:hAnsi="楷体" w:eastAsia="楷体" w:cs="楷体"/>
          <w:sz w:val="28"/>
          <w:szCs w:val="28"/>
          <w:lang w:eastAsia="zh-CN"/>
        </w:rPr>
        <w:t>”，</w:t>
      </w:r>
      <w:r>
        <w:rPr>
          <w:rFonts w:hint="eastAsia" w:ascii="楷体" w:hAnsi="楷体" w:eastAsia="楷体" w:cs="楷体"/>
          <w:sz w:val="28"/>
          <w:szCs w:val="28"/>
        </w:rPr>
        <w:t>构建“2+2”心理危机工作模式，做到心理问题早发现、早干预、早引导；培养学生积极心理品质，进行整体性预防干预，创设“1234多活动”工作法，多措并举预防</w:t>
      </w:r>
      <w:r>
        <w:rPr>
          <w:rFonts w:hint="eastAsia" w:ascii="楷体" w:hAnsi="楷体" w:eastAsia="楷体" w:cs="楷体"/>
          <w:sz w:val="28"/>
          <w:szCs w:val="28"/>
          <w:lang w:val="en-US" w:eastAsia="zh-CN"/>
        </w:rPr>
        <w:t>学生</w:t>
      </w:r>
      <w:r>
        <w:rPr>
          <w:rFonts w:hint="eastAsia" w:ascii="楷体" w:hAnsi="楷体" w:eastAsia="楷体" w:cs="楷体"/>
          <w:sz w:val="28"/>
          <w:szCs w:val="28"/>
        </w:rPr>
        <w:t>心理危机</w:t>
      </w:r>
      <w:r>
        <w:rPr>
          <w:rFonts w:hint="eastAsia" w:ascii="楷体" w:hAnsi="楷体" w:eastAsia="楷体" w:cs="楷体"/>
          <w:sz w:val="28"/>
          <w:szCs w:val="28"/>
          <w:lang w:val="en-US" w:eastAsia="zh-CN"/>
        </w:rPr>
        <w:t>的</w:t>
      </w:r>
      <w:r>
        <w:rPr>
          <w:rFonts w:hint="eastAsia" w:ascii="楷体" w:hAnsi="楷体" w:eastAsia="楷体" w:cs="楷体"/>
          <w:sz w:val="28"/>
          <w:szCs w:val="28"/>
        </w:rPr>
        <w:t>发生。</w:t>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sz w:val="28"/>
          <w:szCs w:val="28"/>
          <w:lang w:val="en-US" w:eastAsia="zh-CN"/>
        </w:rPr>
      </w:pPr>
      <w:r>
        <w:rPr>
          <w:rFonts w:ascii="宋体" w:hAnsi="宋体" w:eastAsia="宋体" w:cs="宋体"/>
          <w:sz w:val="24"/>
          <w:szCs w:val="24"/>
        </w:rPr>
        <w:drawing>
          <wp:inline distT="0" distB="0" distL="114300" distR="114300">
            <wp:extent cx="5579745" cy="3007360"/>
            <wp:effectExtent l="0" t="0" r="1905" b="254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9"/>
                    <a:srcRect t="7338" b="11836"/>
                    <a:stretch>
                      <a:fillRect/>
                    </a:stretch>
                  </pic:blipFill>
                  <pic:spPr>
                    <a:xfrm>
                      <a:off x="0" y="0"/>
                      <a:ext cx="5579745" cy="3007360"/>
                    </a:xfrm>
                    <a:prstGeom prst="rect">
                      <a:avLst/>
                    </a:prstGeom>
                    <a:noFill/>
                    <a:ln w="9525">
                      <a:noFill/>
                    </a:ln>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黑体" w:hAnsi="黑体" w:eastAsia="黑体" w:cs="黑体"/>
          <w:color w:val="9D0300"/>
          <w:sz w:val="28"/>
          <w:szCs w:val="28"/>
          <w:lang w:val="en-US" w:eastAsia="zh-CN"/>
        </w:rPr>
      </w:pPr>
      <w:bookmarkStart w:id="4" w:name="_Toc37"/>
      <w:bookmarkStart w:id="5" w:name="_Toc9512"/>
      <w:r>
        <w:rPr>
          <w:rFonts w:hint="eastAsia" w:ascii="黑体" w:hAnsi="黑体" w:eastAsia="黑体" w:cs="黑体"/>
          <w:color w:val="9D0300"/>
          <w:sz w:val="28"/>
          <w:szCs w:val="28"/>
          <w:lang w:val="en-US" w:eastAsia="zh-CN"/>
        </w:rPr>
        <w:t xml:space="preserve">图 </w:t>
      </w:r>
      <w:r>
        <w:rPr>
          <w:rFonts w:hint="eastAsia" w:ascii="黑体" w:hAnsi="黑体" w:eastAsia="黑体" w:cs="黑体"/>
          <w:color w:val="9D0300"/>
          <w:sz w:val="28"/>
          <w:szCs w:val="28"/>
          <w:lang w:val="en-US" w:eastAsia="zh-CN"/>
        </w:rPr>
        <w:fldChar w:fldCharType="begin"/>
      </w:r>
      <w:r>
        <w:rPr>
          <w:rFonts w:hint="eastAsia" w:ascii="黑体" w:hAnsi="黑体" w:eastAsia="黑体" w:cs="黑体"/>
          <w:color w:val="9D0300"/>
          <w:sz w:val="28"/>
          <w:szCs w:val="28"/>
          <w:lang w:val="en-US" w:eastAsia="zh-CN"/>
        </w:rPr>
        <w:instrText xml:space="preserve"> SEQ 图 \* ARABIC </w:instrText>
      </w:r>
      <w:r>
        <w:rPr>
          <w:rFonts w:hint="eastAsia" w:ascii="黑体" w:hAnsi="黑体" w:eastAsia="黑体" w:cs="黑体"/>
          <w:color w:val="9D0300"/>
          <w:sz w:val="28"/>
          <w:szCs w:val="28"/>
          <w:lang w:val="en-US" w:eastAsia="zh-CN"/>
        </w:rPr>
        <w:fldChar w:fldCharType="separate"/>
      </w:r>
      <w:r>
        <w:rPr>
          <w:rFonts w:hint="eastAsia" w:ascii="黑体" w:hAnsi="黑体" w:eastAsia="黑体" w:cs="黑体"/>
          <w:color w:val="9D0300"/>
          <w:sz w:val="28"/>
          <w:szCs w:val="28"/>
          <w:lang w:val="en-US" w:eastAsia="zh-CN"/>
        </w:rPr>
        <w:t>1</w:t>
      </w:r>
      <w:r>
        <w:rPr>
          <w:rFonts w:hint="eastAsia" w:ascii="黑体" w:hAnsi="黑体" w:eastAsia="黑体" w:cs="黑体"/>
          <w:color w:val="9D0300"/>
          <w:sz w:val="28"/>
          <w:szCs w:val="28"/>
          <w:lang w:val="en-US" w:eastAsia="zh-CN"/>
        </w:rPr>
        <w:fldChar w:fldCharType="end"/>
      </w:r>
      <w:bookmarkStart w:id="6" w:name="_Toc29825"/>
      <w:r>
        <w:rPr>
          <w:rFonts w:hint="eastAsia" w:ascii="黑体" w:hAnsi="黑体" w:eastAsia="黑体" w:cs="黑体"/>
          <w:color w:val="9D0300"/>
          <w:sz w:val="28"/>
          <w:szCs w:val="28"/>
          <w:lang w:val="en-US" w:eastAsia="zh-CN"/>
        </w:rPr>
        <w:t xml:space="preserve"> </w:t>
      </w:r>
      <w:bookmarkEnd w:id="4"/>
      <w:r>
        <w:rPr>
          <w:rFonts w:hint="eastAsia" w:ascii="黑体" w:hAnsi="黑体" w:eastAsia="黑体" w:cs="黑体"/>
          <w:color w:val="9D0300"/>
          <w:sz w:val="28"/>
          <w:szCs w:val="28"/>
          <w:lang w:val="en-US" w:eastAsia="zh-CN"/>
        </w:rPr>
        <w:t>学校获2023年山东省中职学校心理健康教育工作先进单位</w:t>
      </w:r>
      <w:bookmarkEnd w:id="5"/>
      <w:bookmarkEnd w:id="6"/>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b/>
          <w:bCs/>
          <w:color w:val="A20000"/>
          <w:sz w:val="28"/>
          <w:szCs w:val="28"/>
        </w:rPr>
        <w:t>潜心育人硕果累累。</w:t>
      </w:r>
      <w:r>
        <w:rPr>
          <w:rFonts w:hint="eastAsia" w:ascii="仿宋_GB2312" w:hAnsi="仿宋_GB2312" w:eastAsia="仿宋_GB2312" w:cs="仿宋_GB2312"/>
          <w:sz w:val="28"/>
          <w:szCs w:val="28"/>
          <w:highlight w:val="none"/>
          <w:lang w:val="en-US" w:eastAsia="zh-CN"/>
        </w:rPr>
        <w:t>山东省莱阳卫生学校</w:t>
      </w:r>
      <w:r>
        <w:rPr>
          <w:rFonts w:hint="eastAsia" w:ascii="仿宋_GB2312" w:hAnsi="仿宋_GB2312" w:eastAsia="仿宋_GB2312" w:cs="仿宋_GB2312"/>
          <w:sz w:val="28"/>
          <w:szCs w:val="28"/>
          <w:highlight w:val="none"/>
        </w:rPr>
        <w:t>以提高学生综合素质能力为核心，</w:t>
      </w:r>
      <w:r>
        <w:rPr>
          <w:rFonts w:hint="eastAsia" w:ascii="仿宋_GB2312" w:hAnsi="仿宋_GB2312" w:eastAsia="仿宋_GB2312" w:cs="仿宋_GB2312"/>
          <w:sz w:val="28"/>
          <w:szCs w:val="28"/>
          <w:highlight w:val="none"/>
          <w:lang w:val="en-US" w:eastAsia="zh-CN"/>
        </w:rPr>
        <w:t>在班主任队伍建设、学生社团建设、志愿服务、学生特色化活动等方面，开拓创新，积极探索，以激励学生发挥想象力，培养创新思维，成效显著。入选全国班主任研究室典型案例。获中职班主任能力比赛省级二等奖1项。省级优秀班集体2个、省级优秀毕业生57人、省级优秀学生14人、省级优秀学生干部3人、国家级奖学金3人。学校获山东省青少年风采展示活动、中职学生礼仪风采比赛一等奖6项、二等奖4项、三等奖8项、优秀奖15项，获奖总量居全省前列。学校作品《玉竹甘草慈梨膏》获山东省中医药文化科普决赛二等奖和最具产业价值奖。2名学生获中共烟台市委宣传部学习强国“学习之星”称号。</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_GB2312" w:hAnsi="仿宋_GB2312" w:eastAsia="仿宋_GB2312" w:cs="仿宋_GB2312"/>
          <w:sz w:val="28"/>
          <w:szCs w:val="28"/>
        </w:rPr>
      </w:pPr>
      <w:r>
        <w:rPr>
          <w:rFonts w:hint="default" w:ascii="仿宋_GB2312" w:hAnsi="仿宋_GB2312" w:eastAsia="仿宋_GB2312" w:cs="仿宋_GB2312"/>
          <w:sz w:val="28"/>
          <w:szCs w:val="28"/>
          <w:highlight w:val="none"/>
          <w:lang w:val="en-US" w:eastAsia="zh-CN"/>
        </w:rPr>
        <w:drawing>
          <wp:inline distT="0" distB="0" distL="114300" distR="114300">
            <wp:extent cx="5579745" cy="3338830"/>
            <wp:effectExtent l="0" t="0" r="1905" b="13970"/>
            <wp:docPr id="14" name="图片 14" descr="选手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选手3"/>
                    <pic:cNvPicPr>
                      <a:picLocks noChangeAspect="1"/>
                    </pic:cNvPicPr>
                  </pic:nvPicPr>
                  <pic:blipFill>
                    <a:blip r:embed="rId10"/>
                    <a:srcRect b="10192"/>
                    <a:stretch>
                      <a:fillRect/>
                    </a:stretch>
                  </pic:blipFill>
                  <pic:spPr>
                    <a:xfrm>
                      <a:off x="0" y="0"/>
                      <a:ext cx="5579745" cy="3338830"/>
                    </a:xfrm>
                    <a:prstGeom prst="rect">
                      <a:avLst/>
                    </a:prstGeom>
                  </pic:spPr>
                </pic:pic>
              </a:graphicData>
            </a:graphic>
          </wp:inline>
        </w:drawing>
      </w:r>
    </w:p>
    <w:p>
      <w:pPr>
        <w:pStyle w:val="6"/>
        <w:jc w:val="center"/>
        <w:rPr>
          <w:rFonts w:hint="eastAsia" w:ascii="仿宋_GB2312" w:hAnsi="仿宋_GB2312" w:eastAsia="仿宋_GB2312" w:cs="仿宋_GB2312"/>
          <w:sz w:val="28"/>
          <w:szCs w:val="28"/>
        </w:rPr>
      </w:pPr>
      <w:bookmarkStart w:id="7" w:name="_Toc23283"/>
      <w:r>
        <w:rPr>
          <w:rFonts w:hint="eastAsia" w:ascii="黑体" w:hAnsi="黑体" w:eastAsia="黑体" w:cs="黑体"/>
          <w:color w:val="9D0300"/>
          <w:sz w:val="28"/>
          <w:szCs w:val="28"/>
          <w:lang w:val="en-US" w:eastAsia="zh-CN"/>
        </w:rPr>
        <w:t xml:space="preserve">图 </w:t>
      </w:r>
      <w:r>
        <w:rPr>
          <w:rFonts w:hint="eastAsia" w:ascii="黑体" w:hAnsi="黑体" w:eastAsia="黑体" w:cs="黑体"/>
          <w:color w:val="9D0300"/>
          <w:sz w:val="28"/>
          <w:szCs w:val="28"/>
          <w:lang w:val="en-US" w:eastAsia="zh-CN"/>
        </w:rPr>
        <w:fldChar w:fldCharType="begin"/>
      </w:r>
      <w:r>
        <w:rPr>
          <w:rFonts w:hint="eastAsia" w:ascii="黑体" w:hAnsi="黑体" w:eastAsia="黑体" w:cs="黑体"/>
          <w:color w:val="9D0300"/>
          <w:sz w:val="28"/>
          <w:szCs w:val="28"/>
          <w:lang w:val="en-US" w:eastAsia="zh-CN"/>
        </w:rPr>
        <w:instrText xml:space="preserve"> SEQ 图 \* ARABIC </w:instrText>
      </w:r>
      <w:r>
        <w:rPr>
          <w:rFonts w:hint="eastAsia" w:ascii="黑体" w:hAnsi="黑体" w:eastAsia="黑体" w:cs="黑体"/>
          <w:color w:val="9D0300"/>
          <w:sz w:val="28"/>
          <w:szCs w:val="28"/>
          <w:lang w:val="en-US" w:eastAsia="zh-CN"/>
        </w:rPr>
        <w:fldChar w:fldCharType="separate"/>
      </w:r>
      <w:r>
        <w:rPr>
          <w:rFonts w:hint="eastAsia" w:ascii="黑体" w:hAnsi="黑体" w:eastAsia="黑体" w:cs="黑体"/>
          <w:color w:val="9D0300"/>
          <w:sz w:val="28"/>
          <w:szCs w:val="28"/>
          <w:lang w:val="en-US" w:eastAsia="zh-CN"/>
        </w:rPr>
        <w:t>2</w:t>
      </w:r>
      <w:r>
        <w:rPr>
          <w:rFonts w:hint="eastAsia" w:ascii="黑体" w:hAnsi="黑体" w:eastAsia="黑体" w:cs="黑体"/>
          <w:color w:val="9D0300"/>
          <w:sz w:val="28"/>
          <w:szCs w:val="28"/>
          <w:lang w:val="en-US" w:eastAsia="zh-CN"/>
        </w:rPr>
        <w:fldChar w:fldCharType="end"/>
      </w:r>
      <w:bookmarkStart w:id="8" w:name="_Toc16365"/>
      <w:r>
        <w:rPr>
          <w:rFonts w:hint="eastAsia" w:ascii="黑体" w:hAnsi="黑体" w:eastAsia="黑体" w:cs="黑体"/>
          <w:color w:val="9D0300"/>
          <w:sz w:val="28"/>
          <w:szCs w:val="28"/>
          <w:lang w:val="en-US" w:eastAsia="zh-CN"/>
        </w:rPr>
        <w:t xml:space="preserve"> 学校</w:t>
      </w:r>
      <w:r>
        <w:rPr>
          <w:rFonts w:hint="eastAsia" w:ascii="黑体" w:hAnsi="黑体" w:cs="黑体"/>
          <w:color w:val="9D0300"/>
          <w:sz w:val="28"/>
          <w:szCs w:val="28"/>
          <w:lang w:val="en-US" w:eastAsia="zh-CN"/>
        </w:rPr>
        <w:t>2023年山东省中职学生礼仪风采大赛一等奖团队合影</w:t>
      </w:r>
      <w:bookmarkEnd w:id="7"/>
      <w:bookmarkEnd w:id="8"/>
    </w:p>
    <w:p>
      <w:pPr>
        <w:pStyle w:val="3"/>
        <w:keepNext/>
        <w:keepLines/>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color w:val="A20000"/>
          <w:sz w:val="30"/>
          <w:szCs w:val="30"/>
          <w:lang w:eastAsia="zh-CN"/>
        </w:rPr>
      </w:pPr>
      <w:bookmarkStart w:id="9" w:name="_Toc6468"/>
      <w:r>
        <w:rPr>
          <w:rFonts w:hint="eastAsia" w:ascii="黑体" w:hAnsi="黑体" w:eastAsia="黑体" w:cs="黑体"/>
          <w:color w:val="A20000"/>
          <w:sz w:val="30"/>
          <w:szCs w:val="30"/>
        </w:rPr>
        <w:t>1.</w:t>
      </w:r>
      <w:r>
        <w:rPr>
          <w:rFonts w:hint="eastAsia" w:cs="黑体"/>
          <w:color w:val="A20000"/>
          <w:sz w:val="30"/>
          <w:szCs w:val="30"/>
          <w:lang w:val="en-US" w:eastAsia="zh-CN"/>
        </w:rPr>
        <w:t>2</w:t>
      </w:r>
      <w:r>
        <w:rPr>
          <w:rFonts w:hint="eastAsia" w:ascii="黑体" w:hAnsi="黑体" w:eastAsia="黑体" w:cs="黑体"/>
          <w:color w:val="A20000"/>
          <w:sz w:val="30"/>
          <w:szCs w:val="30"/>
        </w:rPr>
        <w:t>专业</w:t>
      </w:r>
      <w:r>
        <w:rPr>
          <w:rFonts w:hint="eastAsia" w:cs="黑体"/>
          <w:color w:val="A20000"/>
          <w:sz w:val="30"/>
          <w:szCs w:val="30"/>
          <w:lang w:val="en-US" w:eastAsia="zh-CN"/>
        </w:rPr>
        <w:t>育人</w:t>
      </w:r>
      <w:bookmarkEnd w:id="9"/>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color w:val="A20000"/>
          <w:sz w:val="28"/>
          <w:szCs w:val="28"/>
        </w:rPr>
        <w:t>专业布局与结构</w:t>
      </w:r>
      <w:r>
        <w:rPr>
          <w:rFonts w:hint="eastAsia" w:ascii="仿宋_GB2312" w:hAnsi="仿宋_GB2312" w:eastAsia="仿宋_GB2312" w:cs="仿宋_GB2312"/>
          <w:b/>
          <w:bCs/>
          <w:color w:val="A20000"/>
          <w:sz w:val="28"/>
          <w:szCs w:val="28"/>
          <w:lang w:val="en-US" w:eastAsia="zh-CN"/>
        </w:rPr>
        <w:t>不断</w:t>
      </w:r>
      <w:r>
        <w:rPr>
          <w:rFonts w:hint="eastAsia" w:ascii="仿宋_GB2312" w:hAnsi="仿宋_GB2312" w:eastAsia="仿宋_GB2312" w:cs="仿宋_GB2312"/>
          <w:b/>
          <w:bCs/>
          <w:color w:val="A20000"/>
          <w:sz w:val="28"/>
          <w:szCs w:val="28"/>
        </w:rPr>
        <w:t>优化</w:t>
      </w:r>
      <w:r>
        <w:rPr>
          <w:rFonts w:hint="eastAsia" w:ascii="仿宋_GB2312" w:hAnsi="仿宋_GB2312" w:eastAsia="仿宋_GB2312" w:cs="仿宋_GB2312"/>
          <w:b/>
          <w:bCs/>
          <w:color w:val="A20000"/>
          <w:sz w:val="28"/>
          <w:szCs w:val="28"/>
          <w:lang w:eastAsia="zh-CN"/>
        </w:rPr>
        <w:t>。</w:t>
      </w:r>
      <w:r>
        <w:rPr>
          <w:rFonts w:hint="eastAsia" w:ascii="仿宋_GB2312" w:hAnsi="仿宋_GB2312" w:eastAsia="仿宋_GB2312" w:cs="仿宋_GB2312"/>
          <w:sz w:val="28"/>
          <w:szCs w:val="28"/>
          <w:lang w:val="en-US" w:eastAsia="zh-CN"/>
        </w:rPr>
        <w:t>学校坚持服务“健康中国”战略和山东省医养健康产业发展，紧紧围绕基层医疗卫生发展需求，设置了护理、药剂、医学检验技术、医学影像技术、口腔修复工艺、康复技术、中药等7个医学类专业。2023年，学校进一步优化专业招生计划和人才培养方向，继续举办“三二连读”高职、三年中专全日制教育以及护理、药剂春季高考班。面向烟台市重点产业和经济社会发展需求，实现专业链和产业链有效对接，形成对接产业、动态调整、自我完善的专业建设发展机制，建设了护理、药剂2个山东省特色化专业，护理专业形成“1+1+N”课证共生护理专业人才培养模式，构建了“标准融入、岗课融通、医教融合”的实践教学体系，获国家级教学成果奖二等奖。学校美誉度不断提升，家长和考生对学校认可度更高，各专业生源稳定(见表1)。2023年，学校各专业招生人数更加稳定，报考人数是招生计划的3.6倍，所有专业全部为第一志愿录取，录取分数线再创新高，2023年新生平均录取分高出当地普通高中录取分数线16.6分。</w:t>
      </w:r>
    </w:p>
    <w:p>
      <w:pPr>
        <w:pStyle w:val="6"/>
        <w:jc w:val="both"/>
        <w:rPr>
          <w:rFonts w:hint="eastAsia"/>
          <w:sz w:val="28"/>
          <w:szCs w:val="28"/>
          <w:lang w:val="en-US" w:eastAsia="zh-CN"/>
        </w:rPr>
      </w:pPr>
      <w:bookmarkStart w:id="10" w:name="_Toc26096"/>
      <w:r>
        <w:rPr>
          <w:rFonts w:hint="eastAsia" w:ascii="黑体" w:hAnsi="黑体" w:eastAsia="黑体" w:cs="黑体"/>
          <w:color w:val="9D0300"/>
          <w:sz w:val="28"/>
          <w:szCs w:val="28"/>
          <w:lang w:val="en-US" w:eastAsia="zh-CN"/>
        </w:rPr>
        <w:t xml:space="preserve">表 </w:t>
      </w:r>
      <w:r>
        <w:rPr>
          <w:rFonts w:hint="eastAsia" w:ascii="黑体" w:hAnsi="黑体" w:eastAsia="黑体" w:cs="黑体"/>
          <w:color w:val="9D0300"/>
          <w:sz w:val="28"/>
          <w:szCs w:val="28"/>
          <w:lang w:val="en-US" w:eastAsia="zh-CN"/>
        </w:rPr>
        <w:fldChar w:fldCharType="begin"/>
      </w:r>
      <w:r>
        <w:rPr>
          <w:rFonts w:hint="eastAsia" w:ascii="黑体" w:hAnsi="黑体" w:eastAsia="黑体" w:cs="黑体"/>
          <w:color w:val="9D0300"/>
          <w:sz w:val="28"/>
          <w:szCs w:val="28"/>
          <w:lang w:val="en-US" w:eastAsia="zh-CN"/>
        </w:rPr>
        <w:instrText xml:space="preserve"> SEQ 表 \* ARABIC </w:instrText>
      </w:r>
      <w:r>
        <w:rPr>
          <w:rFonts w:hint="eastAsia" w:ascii="黑体" w:hAnsi="黑体" w:eastAsia="黑体" w:cs="黑体"/>
          <w:color w:val="9D0300"/>
          <w:sz w:val="28"/>
          <w:szCs w:val="28"/>
          <w:lang w:val="en-US" w:eastAsia="zh-CN"/>
        </w:rPr>
        <w:fldChar w:fldCharType="separate"/>
      </w:r>
      <w:r>
        <w:rPr>
          <w:rFonts w:hint="eastAsia" w:ascii="黑体" w:hAnsi="黑体" w:eastAsia="黑体" w:cs="黑体"/>
          <w:color w:val="9D0300"/>
          <w:sz w:val="28"/>
          <w:szCs w:val="28"/>
          <w:lang w:val="en-US" w:eastAsia="zh-CN"/>
        </w:rPr>
        <w:t>1</w:t>
      </w:r>
      <w:r>
        <w:rPr>
          <w:rFonts w:hint="eastAsia" w:ascii="黑体" w:hAnsi="黑体" w:eastAsia="黑体" w:cs="黑体"/>
          <w:color w:val="9D0300"/>
          <w:sz w:val="28"/>
          <w:szCs w:val="28"/>
          <w:lang w:val="en-US" w:eastAsia="zh-CN"/>
        </w:rPr>
        <w:fldChar w:fldCharType="end"/>
      </w:r>
      <w:bookmarkStart w:id="11" w:name="_Toc29129"/>
      <w:bookmarkStart w:id="12" w:name="_Toc7216"/>
      <w:r>
        <w:rPr>
          <w:rFonts w:hint="eastAsia" w:ascii="黑体" w:hAnsi="黑体" w:cs="黑体"/>
          <w:color w:val="9D0300"/>
          <w:sz w:val="28"/>
          <w:szCs w:val="28"/>
          <w:lang w:val="en-US" w:eastAsia="zh-CN"/>
        </w:rPr>
        <w:t xml:space="preserve"> </w:t>
      </w:r>
      <w:r>
        <w:rPr>
          <w:rFonts w:hint="eastAsia" w:ascii="黑体" w:hAnsi="黑体" w:eastAsia="黑体" w:cs="黑体"/>
          <w:color w:val="9D0300"/>
          <w:sz w:val="28"/>
          <w:szCs w:val="28"/>
          <w:lang w:val="en-US" w:eastAsia="zh-CN"/>
        </w:rPr>
        <w:t>山东省莱阳卫生学校各专业在校生人数一览表（单位：人）</w:t>
      </w:r>
      <w:bookmarkEnd w:id="11"/>
      <w:bookmarkEnd w:id="12"/>
    </w:p>
    <w:bookmarkEnd w:id="10"/>
    <w:tbl>
      <w:tblPr>
        <w:tblStyle w:val="18"/>
        <w:tblW w:w="87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24"/>
        <w:gridCol w:w="1690"/>
        <w:gridCol w:w="1690"/>
        <w:gridCol w:w="1690"/>
        <w:gridCol w:w="16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791" w:type="dxa"/>
            <w:tcBorders>
              <w:tl2br w:val="nil"/>
              <w:tr2bl w:val="nil"/>
            </w:tcBorders>
            <w:shd w:val="clear" w:color="auto" w:fill="A20000"/>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b/>
                <w:bCs/>
                <w:color w:val="FFFF00"/>
                <w:sz w:val="21"/>
                <w:szCs w:val="21"/>
              </w:rPr>
            </w:pPr>
            <w:r>
              <w:rPr>
                <w:rFonts w:hint="eastAsia" w:ascii="宋体" w:hAnsi="宋体" w:eastAsia="宋体" w:cs="宋体"/>
                <w:b/>
                <w:bCs/>
                <w:color w:val="FFFF00"/>
                <w:sz w:val="21"/>
                <w:szCs w:val="21"/>
              </w:rPr>
              <w:t>专业</w:t>
            </w:r>
          </w:p>
        </w:tc>
        <w:tc>
          <w:tcPr>
            <w:tcW w:w="1496" w:type="dxa"/>
            <w:tcBorders>
              <w:tl2br w:val="nil"/>
              <w:tr2bl w:val="nil"/>
            </w:tcBorders>
            <w:shd w:val="clear" w:color="auto" w:fill="A20000"/>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b/>
                <w:bCs/>
                <w:color w:val="FFFF00"/>
                <w:sz w:val="21"/>
                <w:szCs w:val="21"/>
              </w:rPr>
            </w:pPr>
            <w:r>
              <w:rPr>
                <w:rFonts w:hint="eastAsia" w:ascii="宋体" w:hAnsi="宋体" w:eastAsia="宋体" w:cs="宋体"/>
                <w:b/>
                <w:bCs/>
                <w:color w:val="FFFF00"/>
                <w:sz w:val="21"/>
                <w:szCs w:val="21"/>
                <w:lang w:val="en-US" w:eastAsia="zh-CN"/>
              </w:rPr>
              <w:t>2023</w:t>
            </w:r>
            <w:r>
              <w:rPr>
                <w:rFonts w:hint="eastAsia" w:ascii="宋体" w:hAnsi="宋体" w:eastAsia="宋体" w:cs="宋体"/>
                <w:b/>
                <w:bCs/>
                <w:color w:val="FFFF00"/>
                <w:sz w:val="21"/>
                <w:szCs w:val="21"/>
              </w:rPr>
              <w:t>级</w:t>
            </w:r>
          </w:p>
        </w:tc>
        <w:tc>
          <w:tcPr>
            <w:tcW w:w="1496" w:type="dxa"/>
            <w:tcBorders>
              <w:tl2br w:val="nil"/>
              <w:tr2bl w:val="nil"/>
            </w:tcBorders>
            <w:shd w:val="clear" w:color="auto" w:fill="A20000"/>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b/>
                <w:bCs/>
                <w:color w:val="FFFF00"/>
                <w:sz w:val="21"/>
                <w:szCs w:val="21"/>
              </w:rPr>
            </w:pPr>
            <w:r>
              <w:rPr>
                <w:rFonts w:hint="eastAsia" w:ascii="宋体" w:hAnsi="宋体" w:eastAsia="宋体" w:cs="宋体"/>
                <w:b/>
                <w:bCs/>
                <w:color w:val="FFFF00"/>
                <w:sz w:val="21"/>
                <w:szCs w:val="21"/>
                <w:lang w:val="en-US" w:eastAsia="zh-CN"/>
              </w:rPr>
              <w:t>2022</w:t>
            </w:r>
            <w:r>
              <w:rPr>
                <w:rFonts w:hint="eastAsia" w:ascii="宋体" w:hAnsi="宋体" w:eastAsia="宋体" w:cs="宋体"/>
                <w:b/>
                <w:bCs/>
                <w:color w:val="FFFF00"/>
                <w:sz w:val="21"/>
                <w:szCs w:val="21"/>
              </w:rPr>
              <w:t>级</w:t>
            </w:r>
          </w:p>
        </w:tc>
        <w:tc>
          <w:tcPr>
            <w:tcW w:w="1496" w:type="dxa"/>
            <w:tcBorders>
              <w:tl2br w:val="nil"/>
              <w:tr2bl w:val="nil"/>
            </w:tcBorders>
            <w:shd w:val="clear" w:color="auto" w:fill="A20000"/>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b/>
                <w:bCs/>
                <w:color w:val="FFFF00"/>
                <w:sz w:val="21"/>
                <w:szCs w:val="21"/>
              </w:rPr>
            </w:pPr>
            <w:r>
              <w:rPr>
                <w:rFonts w:hint="eastAsia" w:ascii="宋体" w:hAnsi="宋体" w:eastAsia="宋体" w:cs="宋体"/>
                <w:b/>
                <w:bCs/>
                <w:color w:val="FFFF00"/>
                <w:sz w:val="21"/>
                <w:szCs w:val="21"/>
                <w:lang w:val="en-US" w:eastAsia="zh-CN"/>
              </w:rPr>
              <w:t>2021</w:t>
            </w:r>
            <w:r>
              <w:rPr>
                <w:rFonts w:hint="eastAsia" w:ascii="宋体" w:hAnsi="宋体" w:eastAsia="宋体" w:cs="宋体"/>
                <w:b/>
                <w:bCs/>
                <w:color w:val="FFFF00"/>
                <w:sz w:val="21"/>
                <w:szCs w:val="21"/>
              </w:rPr>
              <w:t>级</w:t>
            </w:r>
          </w:p>
        </w:tc>
        <w:tc>
          <w:tcPr>
            <w:tcW w:w="1498" w:type="dxa"/>
            <w:tcBorders>
              <w:tl2br w:val="nil"/>
              <w:tr2bl w:val="nil"/>
            </w:tcBorders>
            <w:shd w:val="clear" w:color="auto" w:fill="A20000"/>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b/>
                <w:bCs/>
                <w:color w:val="FFFF00"/>
                <w:sz w:val="21"/>
                <w:szCs w:val="21"/>
              </w:rPr>
            </w:pPr>
            <w:r>
              <w:rPr>
                <w:rFonts w:hint="eastAsia" w:ascii="宋体" w:hAnsi="宋体" w:eastAsia="宋体" w:cs="宋体"/>
                <w:b/>
                <w:bCs/>
                <w:color w:val="FFFF00"/>
                <w:sz w:val="21"/>
                <w:szCs w:val="21"/>
              </w:rPr>
              <w:t>合计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791" w:type="dxa"/>
            <w:tcBorders>
              <w:tl2br w:val="nil"/>
              <w:tr2bl w:val="nil"/>
            </w:tcBorders>
            <w:shd w:val="clear" w:color="auto" w:fill="F9DBDF" w:themeFill="accent6"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护理</w:t>
            </w:r>
          </w:p>
        </w:tc>
        <w:tc>
          <w:tcPr>
            <w:tcW w:w="1496" w:type="dxa"/>
            <w:tcBorders>
              <w:tl2br w:val="nil"/>
              <w:tr2bl w:val="nil"/>
            </w:tcBorders>
            <w:shd w:val="clear" w:color="auto" w:fill="F9DBDF" w:themeFill="accent6"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440</w:t>
            </w:r>
          </w:p>
        </w:tc>
        <w:tc>
          <w:tcPr>
            <w:tcW w:w="1496" w:type="dxa"/>
            <w:tcBorders>
              <w:tl2br w:val="nil"/>
              <w:tr2bl w:val="nil"/>
            </w:tcBorders>
            <w:shd w:val="clear" w:color="auto" w:fill="F9DBDF" w:themeFill="accent6"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481</w:t>
            </w:r>
          </w:p>
        </w:tc>
        <w:tc>
          <w:tcPr>
            <w:tcW w:w="1496" w:type="dxa"/>
            <w:tcBorders>
              <w:tl2br w:val="nil"/>
              <w:tr2bl w:val="nil"/>
            </w:tcBorders>
            <w:shd w:val="clear" w:color="auto" w:fill="F9DBDF" w:themeFill="accent6"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270</w:t>
            </w:r>
          </w:p>
        </w:tc>
        <w:tc>
          <w:tcPr>
            <w:tcW w:w="1498" w:type="dxa"/>
            <w:tcBorders>
              <w:tl2br w:val="nil"/>
              <w:tr2bl w:val="nil"/>
            </w:tcBorders>
            <w:shd w:val="clear" w:color="auto" w:fill="F9DBDF" w:themeFill="accent6"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1191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791" w:type="dxa"/>
            <w:tcBorders>
              <w:tl2br w:val="nil"/>
              <w:tr2bl w:val="nil"/>
            </w:tcBorders>
            <w:shd w:val="clear" w:color="auto" w:fill="FEF2CB" w:themeFill="accent3"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医学影像技术</w:t>
            </w:r>
          </w:p>
        </w:tc>
        <w:tc>
          <w:tcPr>
            <w:tcW w:w="1496" w:type="dxa"/>
            <w:tcBorders>
              <w:tl2br w:val="nil"/>
              <w:tr2bl w:val="nil"/>
            </w:tcBorders>
            <w:shd w:val="clear" w:color="auto" w:fill="FEF2CB" w:themeFill="accent3"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153</w:t>
            </w:r>
          </w:p>
        </w:tc>
        <w:tc>
          <w:tcPr>
            <w:tcW w:w="1496" w:type="dxa"/>
            <w:tcBorders>
              <w:tl2br w:val="nil"/>
              <w:tr2bl w:val="nil"/>
            </w:tcBorders>
            <w:shd w:val="clear" w:color="auto" w:fill="FEF2CB" w:themeFill="accent3"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143</w:t>
            </w:r>
          </w:p>
        </w:tc>
        <w:tc>
          <w:tcPr>
            <w:tcW w:w="1496" w:type="dxa"/>
            <w:tcBorders>
              <w:tl2br w:val="nil"/>
              <w:tr2bl w:val="nil"/>
            </w:tcBorders>
            <w:shd w:val="clear" w:color="auto" w:fill="FEF2CB" w:themeFill="accent3"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96</w:t>
            </w:r>
          </w:p>
        </w:tc>
        <w:tc>
          <w:tcPr>
            <w:tcW w:w="1498" w:type="dxa"/>
            <w:tcBorders>
              <w:tl2br w:val="nil"/>
              <w:tr2bl w:val="nil"/>
            </w:tcBorders>
            <w:shd w:val="clear" w:color="auto" w:fill="FEF2CB" w:themeFill="accent3"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791" w:type="dxa"/>
            <w:tcBorders>
              <w:tl2br w:val="nil"/>
              <w:tr2bl w:val="nil"/>
            </w:tcBorders>
            <w:shd w:val="clear" w:color="auto" w:fill="F9DBDF" w:themeFill="accent6"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医学检验技术</w:t>
            </w:r>
          </w:p>
        </w:tc>
        <w:tc>
          <w:tcPr>
            <w:tcW w:w="1496" w:type="dxa"/>
            <w:tcBorders>
              <w:tl2br w:val="nil"/>
              <w:tr2bl w:val="nil"/>
            </w:tcBorders>
            <w:shd w:val="clear" w:color="auto" w:fill="F9DBDF" w:themeFill="accent6"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125</w:t>
            </w:r>
          </w:p>
        </w:tc>
        <w:tc>
          <w:tcPr>
            <w:tcW w:w="1496" w:type="dxa"/>
            <w:tcBorders>
              <w:tl2br w:val="nil"/>
              <w:tr2bl w:val="nil"/>
            </w:tcBorders>
            <w:shd w:val="clear" w:color="auto" w:fill="F9DBDF" w:themeFill="accent6"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112</w:t>
            </w:r>
          </w:p>
        </w:tc>
        <w:tc>
          <w:tcPr>
            <w:tcW w:w="1496" w:type="dxa"/>
            <w:tcBorders>
              <w:tl2br w:val="nil"/>
              <w:tr2bl w:val="nil"/>
            </w:tcBorders>
            <w:shd w:val="clear" w:color="auto" w:fill="F9DBDF" w:themeFill="accent6"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94</w:t>
            </w:r>
          </w:p>
        </w:tc>
        <w:tc>
          <w:tcPr>
            <w:tcW w:w="1498" w:type="dxa"/>
            <w:tcBorders>
              <w:tl2br w:val="nil"/>
              <w:tr2bl w:val="nil"/>
            </w:tcBorders>
            <w:shd w:val="clear" w:color="auto" w:fill="F9DBDF" w:themeFill="accent6"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791" w:type="dxa"/>
            <w:tcBorders>
              <w:tl2br w:val="nil"/>
              <w:tr2bl w:val="nil"/>
            </w:tcBorders>
            <w:shd w:val="clear" w:color="auto" w:fill="FEF2CB" w:themeFill="accent3"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药剂</w:t>
            </w:r>
          </w:p>
        </w:tc>
        <w:tc>
          <w:tcPr>
            <w:tcW w:w="1496" w:type="dxa"/>
            <w:tcBorders>
              <w:tl2br w:val="nil"/>
              <w:tr2bl w:val="nil"/>
            </w:tcBorders>
            <w:shd w:val="clear" w:color="auto" w:fill="FEF2CB" w:themeFill="accent3"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112</w:t>
            </w:r>
          </w:p>
        </w:tc>
        <w:tc>
          <w:tcPr>
            <w:tcW w:w="1496" w:type="dxa"/>
            <w:tcBorders>
              <w:tl2br w:val="nil"/>
              <w:tr2bl w:val="nil"/>
            </w:tcBorders>
            <w:shd w:val="clear" w:color="auto" w:fill="FEF2CB" w:themeFill="accent3"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103</w:t>
            </w:r>
          </w:p>
        </w:tc>
        <w:tc>
          <w:tcPr>
            <w:tcW w:w="1496" w:type="dxa"/>
            <w:tcBorders>
              <w:tl2br w:val="nil"/>
              <w:tr2bl w:val="nil"/>
            </w:tcBorders>
            <w:shd w:val="clear" w:color="auto" w:fill="FEF2CB" w:themeFill="accent3"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134</w:t>
            </w:r>
          </w:p>
        </w:tc>
        <w:tc>
          <w:tcPr>
            <w:tcW w:w="1498" w:type="dxa"/>
            <w:tcBorders>
              <w:tl2br w:val="nil"/>
              <w:tr2bl w:val="nil"/>
            </w:tcBorders>
            <w:shd w:val="clear" w:color="auto" w:fill="FEF2CB" w:themeFill="accent3"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791" w:type="dxa"/>
            <w:tcBorders>
              <w:tl2br w:val="nil"/>
              <w:tr2bl w:val="nil"/>
            </w:tcBorders>
            <w:shd w:val="clear" w:color="auto" w:fill="F9DBDF" w:themeFill="accent6"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口腔修复工艺</w:t>
            </w:r>
          </w:p>
        </w:tc>
        <w:tc>
          <w:tcPr>
            <w:tcW w:w="1496" w:type="dxa"/>
            <w:tcBorders>
              <w:tl2br w:val="nil"/>
              <w:tr2bl w:val="nil"/>
            </w:tcBorders>
            <w:shd w:val="clear" w:color="auto" w:fill="F9DBDF" w:themeFill="accent6"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114</w:t>
            </w:r>
          </w:p>
        </w:tc>
        <w:tc>
          <w:tcPr>
            <w:tcW w:w="1496" w:type="dxa"/>
            <w:tcBorders>
              <w:tl2br w:val="nil"/>
              <w:tr2bl w:val="nil"/>
            </w:tcBorders>
            <w:shd w:val="clear" w:color="auto" w:fill="F9DBDF" w:themeFill="accent6"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81</w:t>
            </w:r>
          </w:p>
        </w:tc>
        <w:tc>
          <w:tcPr>
            <w:tcW w:w="1496" w:type="dxa"/>
            <w:tcBorders>
              <w:tl2br w:val="nil"/>
              <w:tr2bl w:val="nil"/>
            </w:tcBorders>
            <w:shd w:val="clear" w:color="auto" w:fill="F9DBDF" w:themeFill="accent6"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79</w:t>
            </w:r>
          </w:p>
        </w:tc>
        <w:tc>
          <w:tcPr>
            <w:tcW w:w="1498" w:type="dxa"/>
            <w:tcBorders>
              <w:tl2br w:val="nil"/>
              <w:tr2bl w:val="nil"/>
            </w:tcBorders>
            <w:shd w:val="clear" w:color="auto" w:fill="F9DBDF" w:themeFill="accent6"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791" w:type="dxa"/>
            <w:tcBorders>
              <w:tl2br w:val="nil"/>
              <w:tr2bl w:val="nil"/>
            </w:tcBorders>
            <w:shd w:val="clear" w:color="auto" w:fill="FEF2CB" w:themeFill="accent3"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康复技术</w:t>
            </w:r>
          </w:p>
        </w:tc>
        <w:tc>
          <w:tcPr>
            <w:tcW w:w="1496" w:type="dxa"/>
            <w:tcBorders>
              <w:tl2br w:val="nil"/>
              <w:tr2bl w:val="nil"/>
            </w:tcBorders>
            <w:shd w:val="clear" w:color="auto" w:fill="FEF2CB" w:themeFill="accent3"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44</w:t>
            </w:r>
          </w:p>
        </w:tc>
        <w:tc>
          <w:tcPr>
            <w:tcW w:w="1496" w:type="dxa"/>
            <w:tcBorders>
              <w:tl2br w:val="nil"/>
              <w:tr2bl w:val="nil"/>
            </w:tcBorders>
            <w:shd w:val="clear" w:color="auto" w:fill="FEF2CB" w:themeFill="accent3"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50</w:t>
            </w:r>
          </w:p>
        </w:tc>
        <w:tc>
          <w:tcPr>
            <w:tcW w:w="1496" w:type="dxa"/>
            <w:tcBorders>
              <w:tl2br w:val="nil"/>
              <w:tr2bl w:val="nil"/>
            </w:tcBorders>
            <w:shd w:val="clear" w:color="auto" w:fill="FEF2CB" w:themeFill="accent3"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49</w:t>
            </w:r>
          </w:p>
        </w:tc>
        <w:tc>
          <w:tcPr>
            <w:tcW w:w="1498" w:type="dxa"/>
            <w:tcBorders>
              <w:tl2br w:val="nil"/>
              <w:tr2bl w:val="nil"/>
            </w:tcBorders>
            <w:shd w:val="clear" w:color="auto" w:fill="FEF2CB" w:themeFill="accent3"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791" w:type="dxa"/>
            <w:tcBorders>
              <w:tl2br w:val="nil"/>
              <w:tr2bl w:val="nil"/>
            </w:tcBorders>
            <w:shd w:val="clear" w:color="auto" w:fill="F9DBDF" w:themeFill="accent6"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中药</w:t>
            </w:r>
          </w:p>
        </w:tc>
        <w:tc>
          <w:tcPr>
            <w:tcW w:w="1496" w:type="dxa"/>
            <w:tcBorders>
              <w:tl2br w:val="nil"/>
              <w:tr2bl w:val="nil"/>
            </w:tcBorders>
            <w:shd w:val="clear" w:color="auto" w:fill="F9DBDF" w:themeFill="accent6"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46</w:t>
            </w:r>
          </w:p>
        </w:tc>
        <w:tc>
          <w:tcPr>
            <w:tcW w:w="1496" w:type="dxa"/>
            <w:tcBorders>
              <w:tl2br w:val="nil"/>
              <w:tr2bl w:val="nil"/>
            </w:tcBorders>
            <w:shd w:val="clear" w:color="auto" w:fill="F9DBDF" w:themeFill="accent6"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49</w:t>
            </w:r>
          </w:p>
        </w:tc>
        <w:tc>
          <w:tcPr>
            <w:tcW w:w="1496" w:type="dxa"/>
            <w:tcBorders>
              <w:tl2br w:val="nil"/>
              <w:tr2bl w:val="nil"/>
            </w:tcBorders>
            <w:shd w:val="clear" w:color="auto" w:fill="F9DBDF" w:themeFill="accent6"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48</w:t>
            </w:r>
          </w:p>
        </w:tc>
        <w:tc>
          <w:tcPr>
            <w:tcW w:w="1498" w:type="dxa"/>
            <w:tcBorders>
              <w:tl2br w:val="nil"/>
              <w:tr2bl w:val="nil"/>
            </w:tcBorders>
            <w:shd w:val="clear" w:color="auto" w:fill="F9DBDF" w:themeFill="accent6"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791" w:type="dxa"/>
            <w:tcBorders>
              <w:tl2br w:val="nil"/>
              <w:tr2bl w:val="nil"/>
            </w:tcBorders>
            <w:shd w:val="clear" w:color="auto" w:fill="A20000"/>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FFFF00"/>
                <w:sz w:val="21"/>
                <w:szCs w:val="21"/>
              </w:rPr>
            </w:pPr>
            <w:r>
              <w:rPr>
                <w:rFonts w:hint="eastAsia" w:ascii="宋体" w:hAnsi="宋体" w:eastAsia="宋体" w:cs="宋体"/>
                <w:color w:val="FFFF00"/>
                <w:sz w:val="21"/>
                <w:szCs w:val="21"/>
              </w:rPr>
              <w:t>总计</w:t>
            </w:r>
          </w:p>
        </w:tc>
        <w:tc>
          <w:tcPr>
            <w:tcW w:w="1496" w:type="dxa"/>
            <w:tcBorders>
              <w:tl2br w:val="nil"/>
              <w:tr2bl w:val="nil"/>
            </w:tcBorders>
            <w:shd w:val="clear" w:color="auto" w:fill="A20000"/>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b/>
                <w:bCs/>
                <w:color w:val="FFFF00"/>
                <w:sz w:val="21"/>
                <w:szCs w:val="21"/>
              </w:rPr>
            </w:pPr>
            <w:r>
              <w:rPr>
                <w:rFonts w:hint="eastAsia" w:ascii="宋体" w:hAnsi="宋体" w:eastAsia="宋体" w:cs="宋体"/>
                <w:b/>
                <w:bCs/>
                <w:color w:val="FFFF00"/>
                <w:sz w:val="21"/>
                <w:szCs w:val="21"/>
                <w:lang w:val="en-US" w:eastAsia="zh-CN"/>
              </w:rPr>
              <w:t>1034</w:t>
            </w:r>
          </w:p>
        </w:tc>
        <w:tc>
          <w:tcPr>
            <w:tcW w:w="1496" w:type="dxa"/>
            <w:tcBorders>
              <w:tl2br w:val="nil"/>
              <w:tr2bl w:val="nil"/>
            </w:tcBorders>
            <w:shd w:val="clear" w:color="auto" w:fill="A20000"/>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b/>
                <w:bCs/>
                <w:color w:val="FFFF00"/>
                <w:sz w:val="21"/>
                <w:szCs w:val="21"/>
              </w:rPr>
            </w:pPr>
            <w:r>
              <w:rPr>
                <w:rFonts w:hint="eastAsia" w:ascii="宋体" w:hAnsi="宋体" w:eastAsia="宋体" w:cs="宋体"/>
                <w:b/>
                <w:bCs/>
                <w:color w:val="FFFF00"/>
                <w:sz w:val="21"/>
                <w:szCs w:val="21"/>
                <w:lang w:val="en-US" w:eastAsia="zh-CN"/>
              </w:rPr>
              <w:t>1019</w:t>
            </w:r>
          </w:p>
        </w:tc>
        <w:tc>
          <w:tcPr>
            <w:tcW w:w="1496" w:type="dxa"/>
            <w:tcBorders>
              <w:tl2br w:val="nil"/>
              <w:tr2bl w:val="nil"/>
            </w:tcBorders>
            <w:shd w:val="clear" w:color="auto" w:fill="A20000"/>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b/>
                <w:bCs/>
                <w:color w:val="FFFF00"/>
                <w:sz w:val="21"/>
                <w:szCs w:val="21"/>
              </w:rPr>
            </w:pPr>
            <w:r>
              <w:rPr>
                <w:rFonts w:hint="eastAsia" w:ascii="宋体" w:hAnsi="宋体" w:eastAsia="宋体" w:cs="宋体"/>
                <w:b/>
                <w:bCs/>
                <w:color w:val="FFFF00"/>
                <w:sz w:val="21"/>
                <w:szCs w:val="21"/>
                <w:lang w:val="en-US" w:eastAsia="zh-CN"/>
              </w:rPr>
              <w:t>770</w:t>
            </w:r>
          </w:p>
        </w:tc>
        <w:tc>
          <w:tcPr>
            <w:tcW w:w="1498" w:type="dxa"/>
            <w:tcBorders>
              <w:tl2br w:val="nil"/>
              <w:tr2bl w:val="nil"/>
            </w:tcBorders>
            <w:shd w:val="clear" w:color="auto" w:fill="A20000"/>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b/>
                <w:bCs/>
                <w:color w:val="FFFF00"/>
                <w:sz w:val="21"/>
                <w:szCs w:val="21"/>
              </w:rPr>
            </w:pPr>
            <w:r>
              <w:rPr>
                <w:rFonts w:hint="eastAsia" w:ascii="宋体" w:hAnsi="宋体" w:eastAsia="宋体" w:cs="宋体"/>
                <w:b/>
                <w:bCs/>
                <w:color w:val="FFFF00"/>
                <w:sz w:val="21"/>
                <w:szCs w:val="21"/>
              </w:rPr>
              <w:t>2823</w:t>
            </w:r>
          </w:p>
        </w:tc>
      </w:tr>
    </w:tbl>
    <w:p>
      <w:pPr>
        <w:keepNext w:val="0"/>
        <w:keepLines w:val="0"/>
        <w:pageBreakBefore w:val="0"/>
        <w:widowControl w:val="0"/>
        <w:kinsoku/>
        <w:wordWrap/>
        <w:overflowPunct/>
        <w:topLinePunct w:val="0"/>
        <w:autoSpaceDE/>
        <w:autoSpaceDN/>
        <w:bidi w:val="0"/>
        <w:adjustRightInd/>
        <w:snapToGrid/>
        <w:spacing w:before="157" w:beforeLines="50"/>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数据来源：山东省莱阳卫生学校教务处</w:t>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sz w:val="28"/>
          <w:szCs w:val="28"/>
          <w:lang w:eastAsia="zh-CN"/>
        </w:rPr>
      </w:pP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drawing>
          <wp:inline distT="0" distB="0" distL="114300" distR="114300">
            <wp:extent cx="5579745" cy="3544570"/>
            <wp:effectExtent l="0" t="0" r="1905" b="17780"/>
            <wp:docPr id="27" name="图片 27" descr="莱阳卫校召开检验技术专业教学指导方案研讨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莱阳卫校召开检验技术专业教学指导方案研讨会"/>
                    <pic:cNvPicPr>
                      <a:picLocks noChangeAspect="1"/>
                    </pic:cNvPicPr>
                  </pic:nvPicPr>
                  <pic:blipFill>
                    <a:blip r:embed="rId11"/>
                    <a:stretch>
                      <a:fillRect/>
                    </a:stretch>
                  </pic:blipFill>
                  <pic:spPr>
                    <a:xfrm>
                      <a:off x="0" y="0"/>
                      <a:ext cx="5579745" cy="3544570"/>
                    </a:xfrm>
                    <a:prstGeom prst="rect">
                      <a:avLst/>
                    </a:prstGeom>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华文新魏" w:hAnsi="华文新魏" w:eastAsia="华文新魏" w:cs="华文新魏"/>
          <w:b/>
          <w:bCs/>
          <w:color w:val="A20000"/>
          <w:sz w:val="32"/>
          <w:szCs w:val="32"/>
          <w:highlight w:val="none"/>
        </w:rPr>
      </w:pPr>
      <w:bookmarkStart w:id="13" w:name="_Toc178"/>
      <w:r>
        <w:rPr>
          <w:rFonts w:hint="eastAsia" w:ascii="黑体" w:hAnsi="黑体" w:eastAsia="黑体" w:cs="黑体"/>
          <w:color w:val="9D0300"/>
          <w:sz w:val="28"/>
          <w:szCs w:val="28"/>
          <w:highlight w:val="none"/>
          <w:lang w:val="en-US" w:eastAsia="zh-CN"/>
        </w:rPr>
        <w:t xml:space="preserve">图 </w:t>
      </w:r>
      <w:r>
        <w:rPr>
          <w:rFonts w:hint="eastAsia" w:ascii="黑体" w:hAnsi="黑体" w:eastAsia="黑体" w:cs="黑体"/>
          <w:color w:val="9D0300"/>
          <w:sz w:val="28"/>
          <w:szCs w:val="28"/>
          <w:highlight w:val="none"/>
          <w:lang w:val="en-US" w:eastAsia="zh-CN"/>
        </w:rPr>
        <w:fldChar w:fldCharType="begin"/>
      </w:r>
      <w:r>
        <w:rPr>
          <w:rFonts w:hint="eastAsia" w:ascii="黑体" w:hAnsi="黑体" w:eastAsia="黑体" w:cs="黑体"/>
          <w:color w:val="9D0300"/>
          <w:sz w:val="28"/>
          <w:szCs w:val="28"/>
          <w:highlight w:val="none"/>
          <w:lang w:val="en-US" w:eastAsia="zh-CN"/>
        </w:rPr>
        <w:instrText xml:space="preserve"> SEQ 图 \* ARABIC </w:instrText>
      </w:r>
      <w:r>
        <w:rPr>
          <w:rFonts w:hint="eastAsia" w:ascii="黑体" w:hAnsi="黑体" w:eastAsia="黑体" w:cs="黑体"/>
          <w:color w:val="9D0300"/>
          <w:sz w:val="28"/>
          <w:szCs w:val="28"/>
          <w:highlight w:val="none"/>
          <w:lang w:val="en-US" w:eastAsia="zh-CN"/>
        </w:rPr>
        <w:fldChar w:fldCharType="separate"/>
      </w:r>
      <w:r>
        <w:rPr>
          <w:rFonts w:hint="eastAsia" w:ascii="黑体" w:hAnsi="黑体" w:eastAsia="黑体" w:cs="黑体"/>
          <w:color w:val="9D0300"/>
          <w:sz w:val="28"/>
          <w:szCs w:val="28"/>
          <w:highlight w:val="none"/>
          <w:lang w:val="en-US" w:eastAsia="zh-CN"/>
        </w:rPr>
        <w:t>3</w:t>
      </w:r>
      <w:r>
        <w:rPr>
          <w:rFonts w:hint="eastAsia" w:ascii="黑体" w:hAnsi="黑体" w:eastAsia="黑体" w:cs="黑体"/>
          <w:color w:val="9D0300"/>
          <w:sz w:val="28"/>
          <w:szCs w:val="28"/>
          <w:highlight w:val="none"/>
          <w:lang w:val="en-US" w:eastAsia="zh-CN"/>
        </w:rPr>
        <w:fldChar w:fldCharType="end"/>
      </w:r>
      <w:bookmarkStart w:id="14" w:name="_Toc20269"/>
      <w:r>
        <w:rPr>
          <w:rFonts w:hint="eastAsia" w:ascii="黑体" w:hAnsi="黑体" w:cs="黑体"/>
          <w:color w:val="9D0300"/>
          <w:sz w:val="28"/>
          <w:szCs w:val="28"/>
          <w:highlight w:val="none"/>
          <w:lang w:val="en-US" w:eastAsia="zh-CN"/>
        </w:rPr>
        <w:t xml:space="preserve"> </w:t>
      </w:r>
      <w:r>
        <w:rPr>
          <w:rFonts w:hint="eastAsia" w:ascii="黑体" w:hAnsi="黑体" w:eastAsia="黑体" w:cs="黑体"/>
          <w:color w:val="9D0300"/>
          <w:sz w:val="28"/>
          <w:szCs w:val="28"/>
          <w:highlight w:val="none"/>
          <w:lang w:val="en-US" w:eastAsia="zh-CN"/>
        </w:rPr>
        <w:t>山东省莱阳卫生学校举办山东省检验技术专业教学指导方案论证会</w:t>
      </w:r>
      <w:bookmarkEnd w:id="13"/>
      <w:bookmarkEnd w:id="14"/>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华文新魏" w:hAnsi="华文新魏" w:eastAsia="华文新魏" w:cs="华文新魏"/>
          <w:b/>
          <w:bCs/>
          <w:color w:val="A20000"/>
          <w:sz w:val="32"/>
          <w:szCs w:val="32"/>
          <w:highlight w:val="none"/>
          <w:lang w:val="en-US" w:eastAsia="zh-CN"/>
        </w:rPr>
      </w:pPr>
      <w:r>
        <w:rPr>
          <w:rFonts w:hint="eastAsia" w:ascii="华文新魏" w:hAnsi="华文新魏" w:eastAsia="华文新魏" w:cs="华文新魏"/>
          <w:b/>
          <w:bCs/>
          <w:color w:val="A20000"/>
          <w:sz w:val="32"/>
          <w:szCs w:val="32"/>
          <w:highlight w:val="none"/>
          <w:lang w:val="en-US" w:eastAsia="zh-CN"/>
        </w:rPr>
        <w:t xml:space="preserve">案例 </w:t>
      </w:r>
      <w:r>
        <w:rPr>
          <w:rFonts w:hint="eastAsia" w:ascii="华文新魏" w:hAnsi="华文新魏" w:eastAsia="华文新魏" w:cs="华文新魏"/>
          <w:b/>
          <w:bCs/>
          <w:color w:val="A20000"/>
          <w:sz w:val="32"/>
          <w:szCs w:val="32"/>
          <w:highlight w:val="none"/>
          <w:lang w:val="en-US" w:eastAsia="zh-CN"/>
        </w:rPr>
        <w:fldChar w:fldCharType="begin"/>
      </w:r>
      <w:r>
        <w:rPr>
          <w:rFonts w:hint="eastAsia" w:ascii="华文新魏" w:hAnsi="华文新魏" w:eastAsia="华文新魏" w:cs="华文新魏"/>
          <w:b/>
          <w:bCs/>
          <w:color w:val="A20000"/>
          <w:sz w:val="32"/>
          <w:szCs w:val="32"/>
          <w:highlight w:val="none"/>
          <w:lang w:val="en-US" w:eastAsia="zh-CN"/>
        </w:rPr>
        <w:instrText xml:space="preserve"> SEQ 案例 \* ARABIC </w:instrText>
      </w:r>
      <w:r>
        <w:rPr>
          <w:rFonts w:hint="eastAsia" w:ascii="华文新魏" w:hAnsi="华文新魏" w:eastAsia="华文新魏" w:cs="华文新魏"/>
          <w:b/>
          <w:bCs/>
          <w:color w:val="A20000"/>
          <w:sz w:val="32"/>
          <w:szCs w:val="32"/>
          <w:highlight w:val="none"/>
          <w:lang w:val="en-US" w:eastAsia="zh-CN"/>
        </w:rPr>
        <w:fldChar w:fldCharType="separate"/>
      </w:r>
      <w:r>
        <w:rPr>
          <w:rFonts w:hint="eastAsia" w:ascii="华文新魏" w:hAnsi="华文新魏" w:eastAsia="华文新魏" w:cs="华文新魏"/>
          <w:b/>
          <w:bCs/>
          <w:color w:val="A20000"/>
          <w:sz w:val="32"/>
          <w:szCs w:val="32"/>
          <w:highlight w:val="none"/>
          <w:lang w:val="en-US" w:eastAsia="zh-CN"/>
        </w:rPr>
        <w:t>3</w:t>
      </w:r>
      <w:r>
        <w:rPr>
          <w:rFonts w:hint="eastAsia" w:ascii="华文新魏" w:hAnsi="华文新魏" w:eastAsia="华文新魏" w:cs="华文新魏"/>
          <w:b/>
          <w:bCs/>
          <w:color w:val="A20000"/>
          <w:sz w:val="32"/>
          <w:szCs w:val="32"/>
          <w:highlight w:val="none"/>
          <w:lang w:val="en-US" w:eastAsia="zh-CN"/>
        </w:rPr>
        <w:fldChar w:fldCharType="end"/>
      </w:r>
      <w:bookmarkStart w:id="15" w:name="_Toc25386"/>
      <w:r>
        <w:rPr>
          <w:rFonts w:hint="eastAsia" w:ascii="华文新魏" w:hAnsi="华文新魏" w:eastAsia="华文新魏" w:cs="华文新魏"/>
          <w:b/>
          <w:bCs/>
          <w:color w:val="A20000"/>
          <w:sz w:val="32"/>
          <w:szCs w:val="32"/>
          <w:highlight w:val="none"/>
          <w:lang w:val="en-US" w:eastAsia="zh-CN"/>
        </w:rPr>
        <w:t>：岗课赛证融通，提升教师素养</w:t>
      </w:r>
      <w:bookmarkEnd w:id="15"/>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楷体" w:hAnsi="楷体" w:eastAsia="楷体" w:cs="楷体"/>
          <w:sz w:val="28"/>
          <w:szCs w:val="28"/>
          <w:highlight w:val="none"/>
        </w:rPr>
      </w:pPr>
      <w:r>
        <w:rPr>
          <w:rFonts w:hint="eastAsia" w:ascii="楷体" w:hAnsi="楷体" w:eastAsia="楷体" w:cs="楷体"/>
          <w:sz w:val="28"/>
          <w:szCs w:val="28"/>
          <w:highlight w:val="none"/>
        </w:rPr>
        <w:t>学校高度重视教师素养提升工作，通过“学校医院设课堂、校内课堂设病房”的形式实现产教深度融合，将临床岗位与课堂教学无缝衔接、执（职）业资格证书考点与专业技能培训内容有机融合，促进师生专业素养共同提升。</w:t>
      </w:r>
      <w:r>
        <w:rPr>
          <w:rFonts w:hint="eastAsia" w:ascii="楷体" w:hAnsi="楷体" w:eastAsia="楷体" w:cs="楷体"/>
          <w:sz w:val="28"/>
          <w:szCs w:val="28"/>
          <w:highlight w:val="none"/>
          <w:lang w:val="en-US" w:eastAsia="zh-CN"/>
        </w:rPr>
        <w:t>学校</w:t>
      </w:r>
      <w:r>
        <w:rPr>
          <w:rFonts w:hint="eastAsia" w:ascii="楷体" w:hAnsi="楷体" w:eastAsia="楷体" w:cs="楷体"/>
          <w:sz w:val="28"/>
          <w:szCs w:val="28"/>
          <w:highlight w:val="none"/>
        </w:rPr>
        <w:t>实施校内专业竞赛与教学比赛普赛制，师生同台竞技、老中青教师同台竞技，形成了以赛促学、以赛促练、以赛促教、以赛促改的浓厚氛围。本年度教师</w:t>
      </w:r>
      <w:r>
        <w:rPr>
          <w:rFonts w:hint="eastAsia" w:ascii="楷体" w:hAnsi="楷体" w:eastAsia="楷体" w:cs="楷体"/>
          <w:sz w:val="28"/>
          <w:szCs w:val="28"/>
          <w:highlight w:val="none"/>
          <w:lang w:val="en-US" w:eastAsia="zh-CN"/>
        </w:rPr>
        <w:t>荣获各类大赛奖项21个，</w:t>
      </w:r>
      <w:r>
        <w:rPr>
          <w:rFonts w:hint="eastAsia" w:ascii="楷体" w:hAnsi="楷体" w:eastAsia="楷体" w:cs="楷体"/>
          <w:sz w:val="28"/>
          <w:szCs w:val="28"/>
          <w:highlight w:val="none"/>
        </w:rPr>
        <w:t>在教学能力大赛上取得新突破，</w:t>
      </w:r>
      <w:r>
        <w:rPr>
          <w:rFonts w:hint="eastAsia" w:ascii="楷体" w:hAnsi="楷体" w:eastAsia="楷体" w:cs="楷体"/>
          <w:sz w:val="28"/>
          <w:szCs w:val="28"/>
          <w:highlight w:val="none"/>
          <w:lang w:val="en-US" w:eastAsia="zh-CN"/>
        </w:rPr>
        <w:t>其中获得山东省教学能力大赛</w:t>
      </w:r>
      <w:r>
        <w:rPr>
          <w:rFonts w:hint="eastAsia" w:ascii="楷体" w:hAnsi="楷体" w:eastAsia="楷体" w:cs="楷体"/>
          <w:sz w:val="28"/>
          <w:szCs w:val="28"/>
          <w:highlight w:val="none"/>
        </w:rPr>
        <w:t>一等奖1项</w:t>
      </w:r>
      <w:r>
        <w:rPr>
          <w:rFonts w:hint="eastAsia" w:ascii="楷体" w:hAnsi="楷体" w:eastAsia="楷体" w:cs="楷体"/>
          <w:sz w:val="28"/>
          <w:szCs w:val="28"/>
          <w:highlight w:val="none"/>
          <w:lang w:eastAsia="zh-CN"/>
        </w:rPr>
        <w:t>，</w:t>
      </w:r>
      <w:r>
        <w:rPr>
          <w:rFonts w:hint="eastAsia" w:ascii="楷体" w:hAnsi="楷体" w:eastAsia="楷体" w:cs="楷体"/>
          <w:sz w:val="28"/>
          <w:szCs w:val="28"/>
          <w:highlight w:val="none"/>
          <w:lang w:val="en-US" w:eastAsia="zh-CN"/>
        </w:rPr>
        <w:t>实现零的突破</w:t>
      </w:r>
      <w:r>
        <w:rPr>
          <w:rFonts w:hint="eastAsia" w:ascii="楷体" w:hAnsi="楷体" w:eastAsia="楷体" w:cs="楷体"/>
          <w:sz w:val="28"/>
          <w:szCs w:val="28"/>
          <w:highlight w:val="none"/>
        </w:rPr>
        <w:t>。护理专业教师指导学生参加护理技能国赛</w:t>
      </w:r>
      <w:r>
        <w:rPr>
          <w:rFonts w:hint="eastAsia" w:ascii="楷体" w:hAnsi="楷体" w:eastAsia="楷体" w:cs="楷体"/>
          <w:sz w:val="28"/>
          <w:szCs w:val="28"/>
          <w:highlight w:val="none"/>
          <w:lang w:eastAsia="zh-CN"/>
        </w:rPr>
        <w:t>，</w:t>
      </w:r>
      <w:r>
        <w:rPr>
          <w:rFonts w:hint="eastAsia" w:ascii="楷体" w:hAnsi="楷体" w:eastAsia="楷体" w:cs="楷体"/>
          <w:sz w:val="28"/>
          <w:szCs w:val="28"/>
          <w:highlight w:val="none"/>
        </w:rPr>
        <w:t>荣获第11枚金牌</w:t>
      </w:r>
      <w:r>
        <w:rPr>
          <w:rFonts w:hint="eastAsia" w:ascii="楷体" w:hAnsi="楷体" w:eastAsia="楷体" w:cs="楷体"/>
          <w:sz w:val="28"/>
          <w:szCs w:val="28"/>
          <w:highlight w:val="none"/>
          <w:lang w:eastAsia="zh-CN"/>
        </w:rPr>
        <w:t>，</w:t>
      </w:r>
      <w:r>
        <w:rPr>
          <w:rFonts w:hint="eastAsia" w:ascii="楷体" w:hAnsi="楷体" w:eastAsia="楷体" w:cs="楷体"/>
          <w:sz w:val="28"/>
          <w:szCs w:val="28"/>
          <w:highlight w:val="none"/>
          <w:lang w:val="en-US" w:eastAsia="zh-CN"/>
        </w:rPr>
        <w:t>获奖总量位居全国同类院校前列</w:t>
      </w:r>
      <w:r>
        <w:rPr>
          <w:rFonts w:hint="eastAsia" w:ascii="楷体" w:hAnsi="楷体" w:eastAsia="楷体" w:cs="楷体"/>
          <w:sz w:val="28"/>
          <w:szCs w:val="28"/>
          <w:highlight w:val="none"/>
        </w:rPr>
        <w:t>。</w:t>
      </w:r>
    </w:p>
    <w:p>
      <w:pPr>
        <w:keepNext w:val="0"/>
        <w:keepLines w:val="0"/>
        <w:pageBreakBefore w:val="0"/>
        <w:widowControl w:val="0"/>
        <w:kinsoku/>
        <w:wordWrap/>
        <w:overflowPunct/>
        <w:topLinePunct w:val="0"/>
        <w:autoSpaceDE/>
        <w:autoSpaceDN/>
        <w:bidi w:val="0"/>
        <w:adjustRightInd/>
        <w:snapToGrid/>
        <w:spacing w:after="120" w:line="240" w:lineRule="auto"/>
        <w:jc w:val="left"/>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drawing>
          <wp:inline distT="0" distB="0" distL="114300" distR="114300">
            <wp:extent cx="5579745" cy="2961005"/>
            <wp:effectExtent l="0" t="0" r="1905" b="10795"/>
            <wp:docPr id="22" name="图片 22" descr="莱阳卫校荣获全国第二届现场救护技能大赛团体一等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莱阳卫校荣获全国第二届现场救护技能大赛团体一等奖"/>
                    <pic:cNvPicPr>
                      <a:picLocks noChangeAspect="1"/>
                    </pic:cNvPicPr>
                  </pic:nvPicPr>
                  <pic:blipFill>
                    <a:blip r:embed="rId12"/>
                    <a:srcRect t="7913" b="21308"/>
                    <a:stretch>
                      <a:fillRect/>
                    </a:stretch>
                  </pic:blipFill>
                  <pic:spPr>
                    <a:xfrm>
                      <a:off x="0" y="0"/>
                      <a:ext cx="5579745" cy="2961005"/>
                    </a:xfrm>
                    <a:prstGeom prst="rect">
                      <a:avLst/>
                    </a:prstGeom>
                  </pic:spPr>
                </pic:pic>
              </a:graphicData>
            </a:graphic>
          </wp:inline>
        </w:drawing>
      </w:r>
    </w:p>
    <w:p>
      <w:pPr>
        <w:pStyle w:val="6"/>
        <w:keepNext w:val="0"/>
        <w:keepLines w:val="0"/>
        <w:pageBreakBefore w:val="0"/>
        <w:widowControl w:val="0"/>
        <w:kinsoku/>
        <w:wordWrap/>
        <w:overflowPunct/>
        <w:topLinePunct w:val="0"/>
        <w:autoSpaceDE/>
        <w:autoSpaceDN/>
        <w:bidi w:val="0"/>
        <w:adjustRightInd/>
        <w:snapToGrid/>
        <w:spacing w:after="120" w:line="240" w:lineRule="auto"/>
        <w:jc w:val="center"/>
        <w:textAlignment w:val="auto"/>
        <w:rPr>
          <w:rFonts w:hint="eastAsia" w:ascii="仿宋_GB2312" w:hAnsi="仿宋_GB2312" w:eastAsia="仿宋_GB2312" w:cs="仿宋_GB2312"/>
          <w:sz w:val="28"/>
          <w:szCs w:val="28"/>
          <w:lang w:eastAsia="zh-CN"/>
        </w:rPr>
      </w:pPr>
      <w:r>
        <w:rPr>
          <w:rFonts w:hint="eastAsia" w:ascii="黑体" w:hAnsi="黑体" w:eastAsia="黑体" w:cs="黑体"/>
          <w:color w:val="9D0300"/>
          <w:sz w:val="28"/>
          <w:szCs w:val="28"/>
          <w:highlight w:val="none"/>
          <w:lang w:val="en-US" w:eastAsia="zh-CN"/>
        </w:rPr>
        <w:t xml:space="preserve">图 </w:t>
      </w:r>
      <w:r>
        <w:rPr>
          <w:rFonts w:hint="eastAsia" w:ascii="黑体" w:hAnsi="黑体" w:eastAsia="黑体" w:cs="黑体"/>
          <w:color w:val="9D0300"/>
          <w:sz w:val="28"/>
          <w:szCs w:val="28"/>
          <w:highlight w:val="none"/>
          <w:lang w:val="en-US" w:eastAsia="zh-CN"/>
        </w:rPr>
        <w:fldChar w:fldCharType="begin"/>
      </w:r>
      <w:r>
        <w:rPr>
          <w:rFonts w:hint="eastAsia" w:ascii="黑体" w:hAnsi="黑体" w:eastAsia="黑体" w:cs="黑体"/>
          <w:color w:val="9D0300"/>
          <w:sz w:val="28"/>
          <w:szCs w:val="28"/>
          <w:highlight w:val="none"/>
          <w:lang w:val="en-US" w:eastAsia="zh-CN"/>
        </w:rPr>
        <w:instrText xml:space="preserve"> SEQ 图 \* ARABIC </w:instrText>
      </w:r>
      <w:r>
        <w:rPr>
          <w:rFonts w:hint="eastAsia" w:ascii="黑体" w:hAnsi="黑体" w:eastAsia="黑体" w:cs="黑体"/>
          <w:color w:val="9D0300"/>
          <w:sz w:val="28"/>
          <w:szCs w:val="28"/>
          <w:highlight w:val="none"/>
          <w:lang w:val="en-US" w:eastAsia="zh-CN"/>
        </w:rPr>
        <w:fldChar w:fldCharType="separate"/>
      </w:r>
      <w:r>
        <w:rPr>
          <w:rFonts w:hint="eastAsia" w:ascii="黑体" w:hAnsi="黑体" w:eastAsia="黑体" w:cs="黑体"/>
          <w:color w:val="9D0300"/>
          <w:sz w:val="28"/>
          <w:szCs w:val="28"/>
          <w:highlight w:val="none"/>
          <w:lang w:val="en-US" w:eastAsia="zh-CN"/>
        </w:rPr>
        <w:t>4</w:t>
      </w:r>
      <w:r>
        <w:rPr>
          <w:rFonts w:hint="eastAsia" w:ascii="黑体" w:hAnsi="黑体" w:eastAsia="黑体" w:cs="黑体"/>
          <w:color w:val="9D0300"/>
          <w:sz w:val="28"/>
          <w:szCs w:val="28"/>
          <w:highlight w:val="none"/>
          <w:lang w:val="en-US" w:eastAsia="zh-CN"/>
        </w:rPr>
        <w:fldChar w:fldCharType="end"/>
      </w:r>
      <w:bookmarkStart w:id="16" w:name="_Toc15653"/>
      <w:r>
        <w:rPr>
          <w:rFonts w:hint="eastAsia" w:ascii="黑体" w:hAnsi="黑体" w:eastAsia="黑体" w:cs="黑体"/>
          <w:color w:val="9D0300"/>
          <w:sz w:val="28"/>
          <w:szCs w:val="28"/>
          <w:highlight w:val="none"/>
          <w:lang w:val="en-US" w:eastAsia="zh-CN"/>
        </w:rPr>
        <w:t xml:space="preserve"> 学生在全国第二届现场救护技能大赛中荣获团体一等奖</w:t>
      </w:r>
      <w:bookmarkEnd w:id="16"/>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outlineLvl w:val="9"/>
        <w:rPr>
          <w:rFonts w:hint="eastAsia" w:ascii="Times New Roman" w:hAnsi="Times New Roman" w:eastAsia="仿宋_GB2312" w:cs="Times New Roman"/>
          <w:sz w:val="32"/>
          <w:highlight w:val="yellow"/>
          <w:lang w:val="en-US" w:eastAsia="zh-CN" w:bidi="ar"/>
        </w:rPr>
      </w:pPr>
      <w:r>
        <w:rPr>
          <w:rFonts w:hint="eastAsia" w:ascii="仿宋_GB2312" w:hAnsi="仿宋_GB2312" w:eastAsia="仿宋_GB2312" w:cs="仿宋_GB2312"/>
          <w:b/>
          <w:bCs/>
          <w:color w:val="A20000"/>
          <w:sz w:val="28"/>
          <w:szCs w:val="28"/>
          <w:lang w:val="en-US" w:eastAsia="zh-CN"/>
        </w:rPr>
        <w:t>专业实力整体提升</w:t>
      </w:r>
      <w:r>
        <w:rPr>
          <w:rFonts w:hint="eastAsia" w:ascii="仿宋_GB2312" w:hAnsi="仿宋_GB2312" w:eastAsia="仿宋_GB2312" w:cs="仿宋_GB2312"/>
          <w:b/>
          <w:bCs/>
          <w:color w:val="A20000"/>
          <w:sz w:val="28"/>
          <w:szCs w:val="28"/>
          <w:lang w:eastAsia="zh-CN"/>
        </w:rPr>
        <w:t>。</w:t>
      </w:r>
      <w:r>
        <w:rPr>
          <w:rFonts w:hint="eastAsia" w:ascii="仿宋_GB2312" w:hAnsi="仿宋_GB2312" w:eastAsia="仿宋_GB2312" w:cs="仿宋_GB2312"/>
          <w:sz w:val="28"/>
          <w:szCs w:val="28"/>
          <w:lang w:val="en-US" w:eastAsia="zh-CN"/>
        </w:rPr>
        <w:t>学校</w:t>
      </w:r>
      <w:r>
        <w:rPr>
          <w:rFonts w:hint="eastAsia" w:ascii="仿宋_GB2312" w:hAnsi="仿宋_GB2312" w:eastAsia="仿宋_GB2312" w:cs="仿宋_GB2312"/>
          <w:sz w:val="28"/>
          <w:szCs w:val="28"/>
          <w:lang w:eastAsia="zh-CN"/>
        </w:rPr>
        <w:t>通过集中资源、优化配置，重点发展</w:t>
      </w:r>
      <w:r>
        <w:rPr>
          <w:rFonts w:hint="eastAsia" w:ascii="仿宋_GB2312" w:hAnsi="仿宋_GB2312" w:eastAsia="仿宋_GB2312" w:cs="仿宋_GB2312"/>
          <w:sz w:val="28"/>
          <w:szCs w:val="28"/>
          <w:lang w:val="en-US" w:eastAsia="zh-CN"/>
        </w:rPr>
        <w:t>与基层医疗卫生事业紧密相关的</w:t>
      </w:r>
      <w:r>
        <w:rPr>
          <w:rFonts w:hint="eastAsia" w:ascii="仿宋_GB2312" w:hAnsi="仿宋_GB2312" w:eastAsia="仿宋_GB2312" w:cs="仿宋_GB2312"/>
          <w:sz w:val="28"/>
          <w:szCs w:val="28"/>
          <w:lang w:eastAsia="zh-CN"/>
        </w:rPr>
        <w:t>具有竞争力的专业，</w:t>
      </w:r>
      <w:r>
        <w:rPr>
          <w:rFonts w:hint="eastAsia" w:ascii="仿宋_GB2312" w:hAnsi="仿宋_GB2312" w:eastAsia="仿宋_GB2312" w:cs="仿宋_GB2312"/>
          <w:sz w:val="28"/>
          <w:szCs w:val="28"/>
          <w:lang w:val="en-US" w:eastAsia="zh-CN"/>
        </w:rPr>
        <w:t>并以护理和药剂2个山东省高水平特色专业建设项目为引领，</w:t>
      </w:r>
      <w:r>
        <w:rPr>
          <w:rFonts w:hint="eastAsia" w:ascii="仿宋_GB2312" w:hAnsi="仿宋_GB2312" w:eastAsia="仿宋_GB2312" w:cs="仿宋_GB2312"/>
          <w:sz w:val="28"/>
          <w:szCs w:val="28"/>
          <w:lang w:eastAsia="zh-CN"/>
        </w:rPr>
        <w:t>带动</w:t>
      </w:r>
      <w:r>
        <w:rPr>
          <w:rFonts w:hint="eastAsia" w:ascii="仿宋_GB2312" w:hAnsi="仿宋_GB2312" w:eastAsia="仿宋_GB2312" w:cs="仿宋_GB2312"/>
          <w:sz w:val="28"/>
          <w:szCs w:val="28"/>
          <w:lang w:val="en-US" w:eastAsia="zh-CN"/>
        </w:rPr>
        <w:t>专业</w:t>
      </w:r>
      <w:r>
        <w:rPr>
          <w:rFonts w:hint="eastAsia" w:ascii="仿宋_GB2312" w:hAnsi="仿宋_GB2312" w:eastAsia="仿宋_GB2312" w:cs="仿宋_GB2312"/>
          <w:sz w:val="28"/>
          <w:szCs w:val="28"/>
          <w:lang w:eastAsia="zh-CN"/>
        </w:rPr>
        <w:t>建设水平</w:t>
      </w:r>
      <w:r>
        <w:rPr>
          <w:rFonts w:hint="eastAsia" w:ascii="仿宋_GB2312" w:hAnsi="仿宋_GB2312" w:eastAsia="仿宋_GB2312" w:cs="仿宋_GB2312"/>
          <w:sz w:val="28"/>
          <w:szCs w:val="28"/>
          <w:lang w:val="en-US" w:eastAsia="zh-CN"/>
        </w:rPr>
        <w:t>整体提高</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各专业同步发展</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护理专业</w:t>
      </w:r>
      <w:r>
        <w:rPr>
          <w:rFonts w:hint="eastAsia" w:ascii="仿宋_GB2312" w:hAnsi="仿宋_GB2312" w:eastAsia="仿宋_GB2312" w:cs="仿宋_GB2312"/>
          <w:sz w:val="28"/>
          <w:szCs w:val="28"/>
          <w:lang w:val="en-US" w:eastAsia="zh-CN"/>
        </w:rPr>
        <w:t>已建设成为</w:t>
      </w:r>
      <w:r>
        <w:rPr>
          <w:rFonts w:hint="eastAsia" w:ascii="仿宋_GB2312" w:hAnsi="仿宋_GB2312" w:eastAsia="仿宋_GB2312" w:cs="仿宋_GB2312"/>
          <w:sz w:val="28"/>
          <w:szCs w:val="28"/>
        </w:rPr>
        <w:t>教育部“1+X”证书制度试点专业、山东省品牌专业；药剂专业</w:t>
      </w:r>
      <w:r>
        <w:rPr>
          <w:rFonts w:hint="eastAsia" w:ascii="仿宋_GB2312" w:hAnsi="仿宋_GB2312" w:eastAsia="仿宋_GB2312" w:cs="仿宋_GB2312"/>
          <w:sz w:val="28"/>
          <w:szCs w:val="28"/>
          <w:lang w:val="en-US" w:eastAsia="zh-CN"/>
        </w:rPr>
        <w:t>是</w:t>
      </w:r>
      <w:r>
        <w:rPr>
          <w:rFonts w:hint="eastAsia" w:ascii="仿宋_GB2312" w:hAnsi="仿宋_GB2312" w:eastAsia="仿宋_GB2312" w:cs="仿宋_GB2312"/>
          <w:sz w:val="28"/>
          <w:szCs w:val="28"/>
        </w:rPr>
        <w:t>山东省现代学徒制试点专业，牵头完成教育部中等职业学校药剂专业简介与专业教学标准的制定，牵头修订</w:t>
      </w:r>
      <w:r>
        <w:rPr>
          <w:rFonts w:hint="eastAsia" w:ascii="仿宋_GB2312" w:hAnsi="仿宋_GB2312" w:eastAsia="仿宋_GB2312" w:cs="仿宋_GB2312"/>
          <w:sz w:val="28"/>
          <w:szCs w:val="28"/>
          <w:lang w:eastAsia="zh-CN"/>
        </w:rPr>
        <w:t>了</w:t>
      </w:r>
      <w:r>
        <w:rPr>
          <w:rFonts w:hint="eastAsia" w:ascii="仿宋_GB2312" w:hAnsi="仿宋_GB2312" w:eastAsia="仿宋_GB2312" w:cs="仿宋_GB2312"/>
          <w:sz w:val="28"/>
          <w:szCs w:val="28"/>
        </w:rPr>
        <w:t>山东省中等职业学校药剂专业教学指导方案；口腔修复工艺专业</w:t>
      </w:r>
      <w:r>
        <w:rPr>
          <w:rFonts w:hint="eastAsia" w:ascii="仿宋_GB2312" w:hAnsi="仿宋_GB2312" w:eastAsia="仿宋_GB2312" w:cs="仿宋_GB2312"/>
          <w:sz w:val="28"/>
          <w:szCs w:val="28"/>
          <w:lang w:val="en-US" w:eastAsia="zh-CN"/>
        </w:rPr>
        <w:t>是</w:t>
      </w:r>
      <w:r>
        <w:rPr>
          <w:rFonts w:hint="eastAsia" w:ascii="仿宋_GB2312" w:hAnsi="仿宋_GB2312" w:eastAsia="仿宋_GB2312" w:cs="仿宋_GB2312"/>
          <w:sz w:val="28"/>
          <w:szCs w:val="28"/>
        </w:rPr>
        <w:t>山东省现代学徒制试点专业；医学影像技术专业</w:t>
      </w:r>
      <w:r>
        <w:rPr>
          <w:rFonts w:hint="eastAsia" w:ascii="仿宋_GB2312" w:hAnsi="仿宋_GB2312" w:eastAsia="仿宋_GB2312" w:cs="仿宋_GB2312"/>
          <w:sz w:val="28"/>
          <w:szCs w:val="28"/>
          <w:lang w:val="en-US" w:eastAsia="zh-CN"/>
        </w:rPr>
        <w:t>是</w:t>
      </w:r>
      <w:r>
        <w:rPr>
          <w:rFonts w:hint="eastAsia" w:ascii="仿宋_GB2312" w:hAnsi="仿宋_GB2312" w:eastAsia="仿宋_GB2312" w:cs="仿宋_GB2312"/>
          <w:sz w:val="28"/>
          <w:szCs w:val="28"/>
        </w:rPr>
        <w:t>山东省校企一体化合作办学示范专业，烟台市示范性专业；医学检验技术专业</w:t>
      </w:r>
      <w:r>
        <w:rPr>
          <w:rFonts w:hint="eastAsia" w:ascii="仿宋_GB2312" w:hAnsi="仿宋_GB2312" w:eastAsia="仿宋_GB2312" w:cs="仿宋_GB2312"/>
          <w:sz w:val="28"/>
          <w:szCs w:val="28"/>
          <w:lang w:val="en-US" w:eastAsia="zh-CN"/>
        </w:rPr>
        <w:t>是</w:t>
      </w:r>
      <w:r>
        <w:rPr>
          <w:rFonts w:hint="eastAsia" w:ascii="仿宋_GB2312" w:hAnsi="仿宋_GB2312" w:eastAsia="仿宋_GB2312" w:cs="仿宋_GB2312"/>
          <w:sz w:val="28"/>
          <w:szCs w:val="28"/>
        </w:rPr>
        <w:t>烟台市示范性专业，牵头修订</w:t>
      </w:r>
      <w:r>
        <w:rPr>
          <w:rFonts w:hint="eastAsia" w:ascii="仿宋_GB2312" w:hAnsi="仿宋_GB2312" w:eastAsia="仿宋_GB2312" w:cs="仿宋_GB2312"/>
          <w:sz w:val="28"/>
          <w:szCs w:val="28"/>
          <w:lang w:eastAsia="zh-CN"/>
        </w:rPr>
        <w:t>了</w:t>
      </w:r>
      <w:r>
        <w:rPr>
          <w:rFonts w:hint="eastAsia" w:ascii="仿宋_GB2312" w:hAnsi="仿宋_GB2312" w:eastAsia="仿宋_GB2312" w:cs="仿宋_GB2312"/>
          <w:sz w:val="28"/>
          <w:szCs w:val="28"/>
        </w:rPr>
        <w:t>山东省中等职业学校医学检验技术专业教学指导方</w:t>
      </w:r>
      <w:r>
        <w:rPr>
          <w:rFonts w:hint="eastAsia" w:ascii="仿宋_GB2312" w:hAnsi="仿宋_GB2312" w:eastAsia="仿宋_GB2312" w:cs="仿宋_GB2312"/>
          <w:sz w:val="28"/>
          <w:szCs w:val="28"/>
          <w:highlight w:val="none"/>
        </w:rPr>
        <w:t>案。</w:t>
      </w:r>
      <w:r>
        <w:rPr>
          <w:rFonts w:hint="eastAsia" w:ascii="仿宋_GB2312" w:hAnsi="仿宋_GB2312" w:eastAsia="仿宋_GB2312" w:cs="仿宋_GB2312"/>
          <w:sz w:val="28"/>
          <w:szCs w:val="28"/>
          <w:highlight w:val="none"/>
          <w:lang w:val="en-US" w:eastAsia="zh-CN"/>
        </w:rPr>
        <w:t>建设护理、药剂、医学检验技术、医学影像技术、口腔修复工艺、康复技术、中药等7个校级专业教学资源库，共有7199个素材，用户数达到9921个。</w:t>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仿宋_GB2312" w:hAnsi="仿宋_GB2312" w:eastAsia="仿宋_GB2312" w:cs="仿宋_GB2312"/>
          <w:sz w:val="28"/>
          <w:szCs w:val="28"/>
          <w:lang w:eastAsia="zh-CN"/>
        </w:rPr>
      </w:pPr>
    </w:p>
    <w:p>
      <w:pPr>
        <w:pStyle w:val="6"/>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ascii="黑体" w:hAnsi="黑体" w:eastAsia="黑体" w:cs="黑体"/>
          <w:color w:val="9D0300"/>
          <w:sz w:val="24"/>
          <w:szCs w:val="24"/>
          <w:highlight w:val="none"/>
        </w:rPr>
      </w:pPr>
      <w:bookmarkStart w:id="17" w:name="_Toc10028"/>
    </w:p>
    <w:bookmarkEnd w:id="17"/>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华文新魏" w:hAnsi="华文新魏" w:eastAsia="华文新魏" w:cs="华文新魏"/>
          <w:b/>
          <w:bCs/>
          <w:color w:val="A20000"/>
          <w:sz w:val="32"/>
          <w:szCs w:val="32"/>
          <w:highlight w:val="none"/>
          <w:lang w:val="en-US" w:eastAsia="zh-CN"/>
        </w:rPr>
      </w:pPr>
      <w:r>
        <w:rPr>
          <w:rFonts w:hint="eastAsia" w:ascii="华文新魏" w:hAnsi="华文新魏" w:eastAsia="华文新魏" w:cs="华文新魏"/>
          <w:b/>
          <w:bCs/>
          <w:color w:val="A20000"/>
          <w:sz w:val="32"/>
          <w:szCs w:val="32"/>
          <w:highlight w:val="none"/>
          <w:lang w:val="en-US" w:eastAsia="zh-CN"/>
        </w:rPr>
        <w:t xml:space="preserve">案例 </w:t>
      </w:r>
      <w:r>
        <w:rPr>
          <w:rFonts w:hint="eastAsia" w:ascii="华文新魏" w:hAnsi="华文新魏" w:eastAsia="华文新魏" w:cs="华文新魏"/>
          <w:b/>
          <w:bCs/>
          <w:color w:val="A20000"/>
          <w:sz w:val="32"/>
          <w:szCs w:val="32"/>
          <w:highlight w:val="none"/>
          <w:lang w:val="en-US" w:eastAsia="zh-CN"/>
        </w:rPr>
        <w:fldChar w:fldCharType="begin"/>
      </w:r>
      <w:r>
        <w:rPr>
          <w:rFonts w:hint="eastAsia" w:ascii="华文新魏" w:hAnsi="华文新魏" w:eastAsia="华文新魏" w:cs="华文新魏"/>
          <w:b/>
          <w:bCs/>
          <w:color w:val="A20000"/>
          <w:sz w:val="32"/>
          <w:szCs w:val="32"/>
          <w:highlight w:val="none"/>
          <w:lang w:val="en-US" w:eastAsia="zh-CN"/>
        </w:rPr>
        <w:instrText xml:space="preserve"> SEQ 案例 \* ARABIC </w:instrText>
      </w:r>
      <w:r>
        <w:rPr>
          <w:rFonts w:hint="eastAsia" w:ascii="华文新魏" w:hAnsi="华文新魏" w:eastAsia="华文新魏" w:cs="华文新魏"/>
          <w:b/>
          <w:bCs/>
          <w:color w:val="A20000"/>
          <w:sz w:val="32"/>
          <w:szCs w:val="32"/>
          <w:highlight w:val="none"/>
          <w:lang w:val="en-US" w:eastAsia="zh-CN"/>
        </w:rPr>
        <w:fldChar w:fldCharType="separate"/>
      </w:r>
      <w:r>
        <w:rPr>
          <w:rFonts w:hint="eastAsia" w:ascii="华文新魏" w:hAnsi="华文新魏" w:eastAsia="华文新魏" w:cs="华文新魏"/>
          <w:b/>
          <w:bCs/>
          <w:color w:val="A20000"/>
          <w:sz w:val="32"/>
          <w:szCs w:val="32"/>
          <w:highlight w:val="none"/>
          <w:lang w:val="en-US" w:eastAsia="zh-CN"/>
        </w:rPr>
        <w:t>4</w:t>
      </w:r>
      <w:r>
        <w:rPr>
          <w:rFonts w:hint="eastAsia" w:ascii="华文新魏" w:hAnsi="华文新魏" w:eastAsia="华文新魏" w:cs="华文新魏"/>
          <w:b/>
          <w:bCs/>
          <w:color w:val="A20000"/>
          <w:sz w:val="32"/>
          <w:szCs w:val="32"/>
          <w:highlight w:val="none"/>
          <w:lang w:val="en-US" w:eastAsia="zh-CN"/>
        </w:rPr>
        <w:fldChar w:fldCharType="end"/>
      </w:r>
      <w:bookmarkStart w:id="18" w:name="_Toc11160"/>
      <w:r>
        <w:rPr>
          <w:rFonts w:hint="eastAsia" w:ascii="华文新魏" w:hAnsi="华文新魏" w:eastAsia="华文新魏" w:cs="华文新魏"/>
          <w:b/>
          <w:bCs/>
          <w:color w:val="A20000"/>
          <w:sz w:val="32"/>
          <w:szCs w:val="32"/>
          <w:highlight w:val="none"/>
          <w:lang w:val="en-US" w:eastAsia="zh-CN"/>
        </w:rPr>
        <w:t>：牵头制定国家教学标准，带动专业整体水平提升</w:t>
      </w:r>
      <w:bookmarkEnd w:id="18"/>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9"/>
        <w:rPr>
          <w:rFonts w:hint="eastAsia" w:ascii="楷体" w:hAnsi="楷体" w:eastAsia="楷体" w:cs="楷体"/>
          <w:b/>
          <w:bCs/>
          <w:color w:val="A20000"/>
          <w:sz w:val="28"/>
          <w:szCs w:val="28"/>
          <w:lang w:val="en-US" w:eastAsia="zh-CN"/>
        </w:rPr>
      </w:pPr>
      <w:r>
        <w:rPr>
          <w:rFonts w:hint="eastAsia" w:ascii="楷体" w:hAnsi="楷体" w:eastAsia="楷体" w:cs="楷体"/>
          <w:sz w:val="28"/>
          <w:szCs w:val="28"/>
          <w:highlight w:val="none"/>
          <w:lang w:val="en-US" w:eastAsia="zh-CN"/>
        </w:rPr>
        <w:t>受教育部委托，山东省莱阳卫生学校牵头承担国家药剂专业《简介》及《教学标准》修（制）订工作。本次工作组由山东省莱阳卫生学校、上海市医药学校、天津市红星职业中等专业学校、成都铁路卫生学校等学校选派23人参与调研和本标准的修（制）订工作。本标准起草面向全国8个省、2个直辖市、2个自治区的199家企业、14家中职学校、3家研究机构、666名毕业生深入调研，针对专业定位、就业岗位、能力要求等问题，采取文献调研、实地访谈、专家访谈、调查问卷等方式，召开了8次研讨会，参与人员284人次，对调研内容和结果进行了深入分析研究，最终形成了《中职药剂专业教学标准/简介调研报告》《药剂专业简介》《中等职业教育药剂专业教学标准》。</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b/>
          <w:bCs/>
          <w:color w:val="A20000"/>
          <w:sz w:val="28"/>
          <w:szCs w:val="28"/>
          <w:lang w:val="en-US" w:eastAsia="zh-CN"/>
        </w:rPr>
        <w:t>专业育人水平全面提升。</w:t>
      </w:r>
      <w:r>
        <w:rPr>
          <w:rFonts w:hint="eastAsia" w:ascii="仿宋_GB2312" w:hAnsi="仿宋_GB2312" w:eastAsia="仿宋_GB2312" w:cs="仿宋_GB2312"/>
          <w:sz w:val="28"/>
          <w:szCs w:val="28"/>
          <w:highlight w:val="none"/>
          <w:lang w:val="en-US" w:eastAsia="zh-CN"/>
        </w:rPr>
        <w:t>学校以护理和药剂2个山东省特色化专业为引领，以请“大师”、育“名师”、促“双师”为教师队伍建设目标，采用“走出去，请进来”的办法，有计划地组织本专业的骨干教师进行培训，到企业和高校学习，邀请专家到校指导，实施“三雁工程”“青蓝工程”，通过“汇报课”“示范课”“观摩课”等公开课比赛，对教师进行分级分类培养，不断提高教师的教育教学水平。同时，针对学生学习需求和心理状态，为学生提供更加个性化和定制化的服务，促进学生全面发展。本学年共认定齐鲁工匠后备人才96人，护士资格通过率达98.88%，为现代学徒制合作企业培养优秀技术人才180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华文新魏" w:hAnsi="华文新魏" w:eastAsia="华文新魏" w:cs="华文新魏"/>
          <w:b/>
          <w:bCs/>
          <w:color w:val="A20000"/>
          <w:sz w:val="32"/>
          <w:szCs w:val="32"/>
          <w:highlight w:val="none"/>
          <w:lang w:val="en-US" w:eastAsia="zh-CN"/>
        </w:rPr>
      </w:pPr>
      <w:r>
        <w:rPr>
          <w:rFonts w:hint="eastAsia" w:ascii="华文新魏" w:hAnsi="华文新魏" w:eastAsia="华文新魏" w:cs="华文新魏"/>
          <w:b/>
          <w:bCs/>
          <w:color w:val="A20000"/>
          <w:sz w:val="32"/>
          <w:szCs w:val="32"/>
          <w:highlight w:val="none"/>
          <w:lang w:val="en-US" w:eastAsia="zh-CN"/>
        </w:rPr>
        <w:t xml:space="preserve">案例 </w:t>
      </w:r>
      <w:r>
        <w:rPr>
          <w:rFonts w:hint="eastAsia" w:ascii="华文新魏" w:hAnsi="华文新魏" w:eastAsia="华文新魏" w:cs="华文新魏"/>
          <w:b/>
          <w:bCs/>
          <w:color w:val="A20000"/>
          <w:sz w:val="32"/>
          <w:szCs w:val="32"/>
          <w:highlight w:val="none"/>
          <w:lang w:val="en-US" w:eastAsia="zh-CN"/>
        </w:rPr>
        <w:fldChar w:fldCharType="begin"/>
      </w:r>
      <w:r>
        <w:rPr>
          <w:rFonts w:hint="eastAsia" w:ascii="华文新魏" w:hAnsi="华文新魏" w:eastAsia="华文新魏" w:cs="华文新魏"/>
          <w:b/>
          <w:bCs/>
          <w:color w:val="A20000"/>
          <w:sz w:val="32"/>
          <w:szCs w:val="32"/>
          <w:highlight w:val="none"/>
          <w:lang w:val="en-US" w:eastAsia="zh-CN"/>
        </w:rPr>
        <w:instrText xml:space="preserve"> SEQ 案例 \* ARABIC </w:instrText>
      </w:r>
      <w:r>
        <w:rPr>
          <w:rFonts w:hint="eastAsia" w:ascii="华文新魏" w:hAnsi="华文新魏" w:eastAsia="华文新魏" w:cs="华文新魏"/>
          <w:b/>
          <w:bCs/>
          <w:color w:val="A20000"/>
          <w:sz w:val="32"/>
          <w:szCs w:val="32"/>
          <w:highlight w:val="none"/>
          <w:lang w:val="en-US" w:eastAsia="zh-CN"/>
        </w:rPr>
        <w:fldChar w:fldCharType="separate"/>
      </w:r>
      <w:r>
        <w:rPr>
          <w:rFonts w:hint="eastAsia" w:ascii="华文新魏" w:hAnsi="华文新魏" w:eastAsia="华文新魏" w:cs="华文新魏"/>
          <w:b/>
          <w:bCs/>
          <w:color w:val="A20000"/>
          <w:sz w:val="32"/>
          <w:szCs w:val="32"/>
          <w:highlight w:val="none"/>
          <w:lang w:val="en-US" w:eastAsia="zh-CN"/>
        </w:rPr>
        <w:t>5</w:t>
      </w:r>
      <w:r>
        <w:rPr>
          <w:rFonts w:hint="eastAsia" w:ascii="华文新魏" w:hAnsi="华文新魏" w:eastAsia="华文新魏" w:cs="华文新魏"/>
          <w:b/>
          <w:bCs/>
          <w:color w:val="A20000"/>
          <w:sz w:val="32"/>
          <w:szCs w:val="32"/>
          <w:highlight w:val="none"/>
          <w:lang w:val="en-US" w:eastAsia="zh-CN"/>
        </w:rPr>
        <w:fldChar w:fldCharType="end"/>
      </w:r>
      <w:bookmarkStart w:id="19" w:name="_Toc15300"/>
      <w:r>
        <w:rPr>
          <w:rFonts w:hint="eastAsia" w:ascii="华文新魏" w:hAnsi="华文新魏" w:eastAsia="华文新魏" w:cs="华文新魏"/>
          <w:b/>
          <w:bCs/>
          <w:color w:val="A20000"/>
          <w:sz w:val="32"/>
          <w:szCs w:val="32"/>
          <w:highlight w:val="none"/>
          <w:lang w:val="en-US" w:eastAsia="zh-CN"/>
        </w:rPr>
        <w:t>：提供个性化服务，提升学生专业技能</w:t>
      </w:r>
      <w:bookmarkEnd w:id="19"/>
    </w:p>
    <w:p>
      <w:pPr>
        <w:pStyle w:val="6"/>
        <w:keepNext w:val="0"/>
        <w:keepLines w:val="0"/>
        <w:pageBreakBefore w:val="0"/>
        <w:widowControl w:val="0"/>
        <w:kinsoku/>
        <w:wordWrap/>
        <w:overflowPunct/>
        <w:topLinePunct w:val="0"/>
        <w:autoSpaceDE/>
        <w:autoSpaceDN/>
        <w:bidi w:val="0"/>
        <w:adjustRightInd/>
        <w:snapToGrid/>
        <w:ind w:firstLine="560" w:firstLineChars="200"/>
        <w:textAlignment w:val="auto"/>
        <w:outlineLvl w:val="9"/>
        <w:rPr>
          <w:rFonts w:hint="eastAsia" w:ascii="仿宋_GB2312" w:hAnsi="仿宋_GB2312" w:eastAsia="仿宋_GB2312" w:cs="仿宋_GB2312"/>
          <w:b w:val="0"/>
          <w:kern w:val="2"/>
          <w:sz w:val="28"/>
          <w:szCs w:val="28"/>
          <w:highlight w:val="none"/>
          <w:lang w:val="en-US" w:eastAsia="zh-CN" w:bidi="ar-SA"/>
        </w:rPr>
      </w:pPr>
      <w:r>
        <w:rPr>
          <w:rFonts w:hint="eastAsia" w:ascii="楷体" w:hAnsi="楷体" w:eastAsia="楷体" w:cs="楷体"/>
          <w:b w:val="0"/>
          <w:kern w:val="2"/>
          <w:sz w:val="28"/>
          <w:szCs w:val="28"/>
          <w:highlight w:val="none"/>
          <w:lang w:val="en-US" w:eastAsia="zh-CN" w:bidi="ar-SA"/>
        </w:rPr>
        <w:t>山东省莱阳卫生学校孙海慧、卜佳慧两名选手代表山东省参赛，获得2023年全国职业院校技能大赛中职组护理技能赛项团体一等奖。这是学校自2013年参加国赛以来，连续获得的第11枚金牌，体现了学校“岗课赛证”综合育人显著成效。学校自2013年参加全国职业院校护理技能大赛以来，不断探索用技能大赛标准引领课堂教学改革，持续推进课程教材、教学模式和师资队伍建设的创新机制，培养综合素质高、适应能力强、人岗匹配度高的护理学生，为卫生健康事业输送优秀的新型护理人才。办学经验先后在中国教育报、中国教育电视台报道。</w:t>
      </w:r>
    </w:p>
    <w:p>
      <w:pPr>
        <w:jc w:val="both"/>
        <w:rPr>
          <w:rFonts w:hint="eastAsia"/>
          <w:lang w:val="en-US" w:eastAsia="zh-CN"/>
        </w:rPr>
      </w:pPr>
      <w:r>
        <w:rPr>
          <w:rFonts w:hint="eastAsia"/>
          <w:lang w:val="en-US" w:eastAsia="zh-CN"/>
        </w:rPr>
        <w:drawing>
          <wp:inline distT="0" distB="0" distL="114300" distR="114300">
            <wp:extent cx="5579745" cy="3741420"/>
            <wp:effectExtent l="0" t="0" r="1905" b="11430"/>
            <wp:docPr id="15" name="图片 15" descr="71fb5825034b264e85ac2b10bed8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71fb5825034b264e85ac2b10bed8261"/>
                    <pic:cNvPicPr>
                      <a:picLocks noChangeAspect="1"/>
                    </pic:cNvPicPr>
                  </pic:nvPicPr>
                  <pic:blipFill>
                    <a:blip r:embed="rId13"/>
                    <a:srcRect t="10588"/>
                    <a:stretch>
                      <a:fillRect/>
                    </a:stretch>
                  </pic:blipFill>
                  <pic:spPr>
                    <a:xfrm>
                      <a:off x="0" y="0"/>
                      <a:ext cx="5579745" cy="3741420"/>
                    </a:xfrm>
                    <a:prstGeom prst="rect">
                      <a:avLst/>
                    </a:prstGeom>
                  </pic:spPr>
                </pic:pic>
              </a:graphicData>
            </a:graphic>
          </wp:inline>
        </w:drawing>
      </w:r>
    </w:p>
    <w:p>
      <w:pPr>
        <w:pStyle w:val="6"/>
        <w:keepNext w:val="0"/>
        <w:keepLines w:val="0"/>
        <w:pageBreakBefore w:val="0"/>
        <w:widowControl w:val="0"/>
        <w:kinsoku/>
        <w:wordWrap/>
        <w:overflowPunct/>
        <w:topLinePunct w:val="0"/>
        <w:autoSpaceDE/>
        <w:autoSpaceDN/>
        <w:bidi w:val="0"/>
        <w:adjustRightInd/>
        <w:snapToGrid/>
        <w:spacing w:after="120" w:line="240" w:lineRule="auto"/>
        <w:jc w:val="center"/>
        <w:textAlignment w:val="auto"/>
        <w:rPr>
          <w:rFonts w:hint="eastAsia" w:ascii="黑体" w:hAnsi="黑体" w:eastAsia="黑体" w:cs="黑体"/>
          <w:color w:val="A20000"/>
          <w:sz w:val="30"/>
          <w:szCs w:val="30"/>
        </w:rPr>
      </w:pPr>
      <w:r>
        <w:rPr>
          <w:rFonts w:hint="eastAsia" w:ascii="黑体" w:hAnsi="黑体" w:eastAsia="黑体" w:cs="黑体"/>
          <w:color w:val="9D0300"/>
          <w:sz w:val="28"/>
          <w:szCs w:val="28"/>
          <w:highlight w:val="none"/>
          <w:lang w:val="en-US" w:eastAsia="zh-CN"/>
        </w:rPr>
        <w:t xml:space="preserve">图 </w:t>
      </w:r>
      <w:r>
        <w:rPr>
          <w:rFonts w:hint="eastAsia" w:ascii="黑体" w:hAnsi="黑体" w:eastAsia="黑体" w:cs="黑体"/>
          <w:color w:val="9D0300"/>
          <w:sz w:val="28"/>
          <w:szCs w:val="28"/>
          <w:highlight w:val="none"/>
          <w:lang w:val="en-US" w:eastAsia="zh-CN"/>
        </w:rPr>
        <w:fldChar w:fldCharType="begin"/>
      </w:r>
      <w:r>
        <w:rPr>
          <w:rFonts w:hint="eastAsia" w:ascii="黑体" w:hAnsi="黑体" w:eastAsia="黑体" w:cs="黑体"/>
          <w:color w:val="9D0300"/>
          <w:sz w:val="28"/>
          <w:szCs w:val="28"/>
          <w:highlight w:val="none"/>
          <w:lang w:val="en-US" w:eastAsia="zh-CN"/>
        </w:rPr>
        <w:instrText xml:space="preserve"> SEQ 图 \* ARABIC </w:instrText>
      </w:r>
      <w:r>
        <w:rPr>
          <w:rFonts w:hint="eastAsia" w:ascii="黑体" w:hAnsi="黑体" w:eastAsia="黑体" w:cs="黑体"/>
          <w:color w:val="9D0300"/>
          <w:sz w:val="28"/>
          <w:szCs w:val="28"/>
          <w:highlight w:val="none"/>
          <w:lang w:val="en-US" w:eastAsia="zh-CN"/>
        </w:rPr>
        <w:fldChar w:fldCharType="separate"/>
      </w:r>
      <w:r>
        <w:rPr>
          <w:rFonts w:hint="eastAsia" w:ascii="黑体" w:hAnsi="黑体" w:eastAsia="黑体" w:cs="黑体"/>
          <w:color w:val="9D0300"/>
          <w:sz w:val="28"/>
          <w:szCs w:val="28"/>
          <w:highlight w:val="none"/>
          <w:lang w:val="en-US" w:eastAsia="zh-CN"/>
        </w:rPr>
        <w:t>5</w:t>
      </w:r>
      <w:r>
        <w:rPr>
          <w:rFonts w:hint="eastAsia" w:ascii="黑体" w:hAnsi="黑体" w:eastAsia="黑体" w:cs="黑体"/>
          <w:color w:val="9D0300"/>
          <w:sz w:val="28"/>
          <w:szCs w:val="28"/>
          <w:highlight w:val="none"/>
          <w:lang w:val="en-US" w:eastAsia="zh-CN"/>
        </w:rPr>
        <w:fldChar w:fldCharType="end"/>
      </w:r>
      <w:bookmarkStart w:id="20" w:name="_Toc8599"/>
      <w:r>
        <w:rPr>
          <w:rFonts w:hint="eastAsia" w:ascii="黑体" w:hAnsi="黑体" w:eastAsia="黑体" w:cs="黑体"/>
          <w:color w:val="9D0300"/>
          <w:sz w:val="28"/>
          <w:szCs w:val="28"/>
          <w:highlight w:val="none"/>
          <w:lang w:val="en-US" w:eastAsia="zh-CN"/>
        </w:rPr>
        <w:t xml:space="preserve"> 护理专业学生在全国护理大赛获团体一等奖</w:t>
      </w:r>
      <w:r>
        <w:rPr>
          <w:rFonts w:hint="eastAsia" w:ascii="黑体" w:hAnsi="黑体" w:cs="黑体"/>
          <w:color w:val="9D0300"/>
          <w:sz w:val="24"/>
          <w:szCs w:val="24"/>
          <w:highlight w:val="none"/>
          <w:lang w:val="en-US" w:eastAsia="zh-CN"/>
        </w:rPr>
        <w:t xml:space="preserve">  </w:t>
      </w:r>
      <w:bookmarkEnd w:id="20"/>
    </w:p>
    <w:p>
      <w:pPr>
        <w:pStyle w:val="3"/>
        <w:keepNext/>
        <w:keepLines/>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color w:val="A20000"/>
          <w:sz w:val="30"/>
          <w:szCs w:val="30"/>
          <w:lang w:eastAsia="zh-CN"/>
        </w:rPr>
      </w:pPr>
      <w:bookmarkStart w:id="21" w:name="_Toc16060"/>
      <w:r>
        <w:rPr>
          <w:rFonts w:hint="eastAsia" w:ascii="黑体" w:hAnsi="黑体" w:eastAsia="黑体" w:cs="黑体"/>
          <w:color w:val="A20000"/>
          <w:sz w:val="30"/>
          <w:szCs w:val="30"/>
        </w:rPr>
        <w:t>1.</w:t>
      </w:r>
      <w:r>
        <w:rPr>
          <w:rFonts w:hint="eastAsia" w:cs="黑体"/>
          <w:color w:val="A20000"/>
          <w:sz w:val="30"/>
          <w:szCs w:val="30"/>
          <w:lang w:val="en-US" w:eastAsia="zh-CN"/>
        </w:rPr>
        <w:t>3</w:t>
      </w:r>
      <w:r>
        <w:rPr>
          <w:rFonts w:hint="eastAsia" w:ascii="黑体" w:hAnsi="黑体" w:eastAsia="黑体" w:cs="黑体"/>
          <w:color w:val="A20000"/>
          <w:sz w:val="30"/>
          <w:szCs w:val="30"/>
        </w:rPr>
        <w:t>课程</w:t>
      </w:r>
      <w:r>
        <w:rPr>
          <w:rFonts w:hint="eastAsia" w:cs="黑体"/>
          <w:color w:val="A20000"/>
          <w:sz w:val="30"/>
          <w:szCs w:val="30"/>
          <w:lang w:val="en-US" w:eastAsia="zh-CN"/>
        </w:rPr>
        <w:t>育人</w:t>
      </w:r>
      <w:bookmarkEnd w:id="21"/>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outlineLvl w:val="9"/>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color w:val="A20000"/>
          <w:sz w:val="28"/>
          <w:szCs w:val="28"/>
          <w:lang w:val="en-US" w:eastAsia="zh-CN"/>
        </w:rPr>
        <w:t>课程建设满足学生多样化发展学习需求。</w:t>
      </w:r>
      <w:r>
        <w:rPr>
          <w:rFonts w:hint="eastAsia" w:ascii="仿宋_GB2312" w:hAnsi="仿宋_GB2312" w:eastAsia="仿宋_GB2312" w:cs="仿宋_GB2312"/>
          <w:sz w:val="28"/>
          <w:szCs w:val="28"/>
          <w:lang w:val="en-US" w:eastAsia="zh-CN"/>
        </w:rPr>
        <w:t>学校不断加大</w:t>
      </w:r>
      <w:r>
        <w:rPr>
          <w:rFonts w:hint="eastAsia" w:ascii="仿宋_GB2312" w:hAnsi="仿宋_GB2312" w:eastAsia="仿宋_GB2312" w:cs="仿宋_GB2312"/>
          <w:sz w:val="28"/>
          <w:szCs w:val="28"/>
        </w:rPr>
        <w:t>课程建设</w:t>
      </w:r>
      <w:r>
        <w:rPr>
          <w:rFonts w:hint="eastAsia" w:ascii="仿宋_GB2312" w:hAnsi="仿宋_GB2312" w:eastAsia="仿宋_GB2312" w:cs="仿宋_GB2312"/>
          <w:sz w:val="28"/>
          <w:szCs w:val="28"/>
          <w:lang w:val="en-US" w:eastAsia="zh-CN"/>
        </w:rPr>
        <w:t>力度</w:t>
      </w:r>
      <w:r>
        <w:rPr>
          <w:rFonts w:hint="eastAsia" w:ascii="仿宋_GB2312" w:hAnsi="仿宋_GB2312" w:eastAsia="仿宋_GB2312" w:cs="仿宋_GB2312"/>
          <w:sz w:val="28"/>
          <w:szCs w:val="28"/>
        </w:rPr>
        <w:t>，完善</w:t>
      </w:r>
      <w:r>
        <w:rPr>
          <w:rFonts w:hint="eastAsia" w:ascii="仿宋_GB2312" w:hAnsi="仿宋_GB2312" w:eastAsia="仿宋_GB2312" w:cs="仿宋_GB2312"/>
          <w:sz w:val="28"/>
          <w:szCs w:val="28"/>
          <w:lang w:eastAsia="zh-CN"/>
        </w:rPr>
        <w:t>了</w:t>
      </w: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级各专业人才培养方案，开设</w:t>
      </w:r>
      <w:r>
        <w:rPr>
          <w:rFonts w:hint="eastAsia" w:ascii="仿宋_GB2312" w:hAnsi="仿宋_GB2312" w:eastAsia="仿宋_GB2312" w:cs="仿宋_GB2312"/>
          <w:sz w:val="28"/>
          <w:szCs w:val="28"/>
          <w:highlight w:val="none"/>
        </w:rPr>
        <w:t>总课程</w:t>
      </w:r>
      <w:r>
        <w:rPr>
          <w:rFonts w:hint="eastAsia" w:ascii="仿宋_GB2312" w:hAnsi="仿宋_GB2312" w:eastAsia="仿宋_GB2312" w:cs="仿宋_GB2312"/>
          <w:sz w:val="28"/>
          <w:szCs w:val="28"/>
          <w:highlight w:val="none"/>
          <w:lang w:val="en-US" w:eastAsia="zh-CN"/>
        </w:rPr>
        <w:t>182</w:t>
      </w:r>
      <w:r>
        <w:rPr>
          <w:rFonts w:hint="eastAsia" w:ascii="仿宋_GB2312" w:hAnsi="仿宋_GB2312" w:eastAsia="仿宋_GB2312" w:cs="仿宋_GB2312"/>
          <w:sz w:val="28"/>
          <w:szCs w:val="28"/>
          <w:highlight w:val="none"/>
        </w:rPr>
        <w:t>门，</w:t>
      </w:r>
      <w:r>
        <w:rPr>
          <w:rFonts w:hint="eastAsia" w:ascii="仿宋_GB2312" w:hAnsi="仿宋_GB2312" w:eastAsia="仿宋_GB2312" w:cs="仿宋_GB2312"/>
          <w:sz w:val="28"/>
          <w:szCs w:val="28"/>
        </w:rPr>
        <w:t>总学时为58512学时。</w:t>
      </w:r>
      <w:r>
        <w:rPr>
          <w:rFonts w:hint="eastAsia" w:ascii="仿宋_GB2312" w:hAnsi="仿宋_GB2312" w:eastAsia="仿宋_GB2312" w:cs="仿宋_GB2312"/>
          <w:sz w:val="28"/>
          <w:szCs w:val="28"/>
          <w:lang w:val="en-US" w:eastAsia="zh-CN"/>
        </w:rPr>
        <w:t>从课程属性看，</w:t>
      </w:r>
      <w:r>
        <w:rPr>
          <w:rFonts w:hint="eastAsia" w:ascii="仿宋_GB2312" w:hAnsi="仿宋_GB2312" w:eastAsia="仿宋_GB2312" w:cs="仿宋_GB2312"/>
          <w:sz w:val="28"/>
          <w:szCs w:val="28"/>
        </w:rPr>
        <w:t>公共</w:t>
      </w:r>
      <w:r>
        <w:rPr>
          <w:rFonts w:hint="eastAsia" w:ascii="仿宋_GB2312" w:hAnsi="仿宋_GB2312" w:eastAsia="仿宋_GB2312" w:cs="仿宋_GB2312"/>
          <w:sz w:val="28"/>
          <w:szCs w:val="28"/>
          <w:lang w:val="en-US" w:eastAsia="zh-CN"/>
        </w:rPr>
        <w:t>基础课</w:t>
      </w:r>
      <w:r>
        <w:rPr>
          <w:rFonts w:hint="eastAsia" w:ascii="仿宋_GB2312" w:hAnsi="仿宋_GB2312" w:eastAsia="仿宋_GB2312" w:cs="仿宋_GB2312"/>
          <w:sz w:val="28"/>
          <w:szCs w:val="28"/>
        </w:rPr>
        <w:t>课程</w:t>
      </w:r>
      <w:r>
        <w:rPr>
          <w:rFonts w:hint="eastAsia" w:ascii="仿宋_GB2312" w:hAnsi="仿宋_GB2312" w:eastAsia="仿宋_GB2312" w:cs="仿宋_GB2312"/>
          <w:sz w:val="28"/>
          <w:szCs w:val="28"/>
          <w:lang w:val="en-US" w:eastAsia="zh-CN"/>
        </w:rPr>
        <w:t>23</w:t>
      </w:r>
      <w:r>
        <w:rPr>
          <w:rFonts w:hint="eastAsia" w:ascii="仿宋_GB2312" w:hAnsi="仿宋_GB2312" w:eastAsia="仿宋_GB2312" w:cs="仿宋_GB2312"/>
          <w:sz w:val="28"/>
          <w:szCs w:val="28"/>
        </w:rPr>
        <w:t>门，专业基础课程</w:t>
      </w:r>
      <w:r>
        <w:rPr>
          <w:rFonts w:hint="eastAsia" w:ascii="仿宋_GB2312" w:hAnsi="仿宋_GB2312" w:eastAsia="仿宋_GB2312" w:cs="仿宋_GB2312"/>
          <w:sz w:val="28"/>
          <w:szCs w:val="28"/>
          <w:lang w:val="en-US" w:eastAsia="zh-CN"/>
        </w:rPr>
        <w:t>37</w:t>
      </w:r>
      <w:r>
        <w:rPr>
          <w:rFonts w:hint="eastAsia" w:ascii="仿宋_GB2312" w:hAnsi="仿宋_GB2312" w:eastAsia="仿宋_GB2312" w:cs="仿宋_GB2312"/>
          <w:sz w:val="28"/>
          <w:szCs w:val="28"/>
        </w:rPr>
        <w:t>门，专业课程</w:t>
      </w:r>
      <w:r>
        <w:rPr>
          <w:rFonts w:hint="eastAsia" w:ascii="仿宋_GB2312" w:hAnsi="仿宋_GB2312" w:eastAsia="仿宋_GB2312" w:cs="仿宋_GB2312"/>
          <w:sz w:val="28"/>
          <w:szCs w:val="28"/>
          <w:lang w:val="en-US" w:eastAsia="zh-CN"/>
        </w:rPr>
        <w:t>122</w:t>
      </w:r>
      <w:r>
        <w:rPr>
          <w:rFonts w:hint="eastAsia" w:ascii="仿宋_GB2312" w:hAnsi="仿宋_GB2312" w:eastAsia="仿宋_GB2312" w:cs="仿宋_GB2312"/>
          <w:sz w:val="28"/>
          <w:szCs w:val="28"/>
        </w:rPr>
        <w:t>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从课程类型看，</w:t>
      </w:r>
      <w:r>
        <w:rPr>
          <w:rFonts w:hint="eastAsia" w:ascii="仿宋_GB2312" w:hAnsi="仿宋_GB2312" w:eastAsia="仿宋_GB2312" w:cs="仿宋_GB2312"/>
          <w:sz w:val="28"/>
          <w:szCs w:val="28"/>
        </w:rPr>
        <w:t>理论课（A类）</w:t>
      </w:r>
      <w:r>
        <w:rPr>
          <w:rFonts w:hint="eastAsia" w:ascii="仿宋_GB2312" w:hAnsi="仿宋_GB2312" w:eastAsia="仿宋_GB2312" w:cs="仿宋_GB2312"/>
          <w:sz w:val="28"/>
          <w:szCs w:val="28"/>
          <w:lang w:val="en-US" w:eastAsia="zh-CN"/>
        </w:rPr>
        <w:t>19</w:t>
      </w:r>
      <w:r>
        <w:rPr>
          <w:rFonts w:hint="eastAsia" w:ascii="仿宋_GB2312" w:hAnsi="仿宋_GB2312" w:eastAsia="仿宋_GB2312" w:cs="仿宋_GB2312"/>
          <w:sz w:val="28"/>
          <w:szCs w:val="28"/>
        </w:rPr>
        <w:t>门，理论+实践课（B类）1</w:t>
      </w:r>
      <w:r>
        <w:rPr>
          <w:rFonts w:hint="eastAsia" w:ascii="仿宋_GB2312" w:hAnsi="仿宋_GB2312" w:eastAsia="仿宋_GB2312" w:cs="仿宋_GB2312"/>
          <w:sz w:val="28"/>
          <w:szCs w:val="28"/>
          <w:lang w:val="en-US" w:eastAsia="zh-CN"/>
        </w:rPr>
        <w:t>61</w:t>
      </w:r>
      <w:r>
        <w:rPr>
          <w:rFonts w:hint="eastAsia" w:ascii="仿宋_GB2312" w:hAnsi="仿宋_GB2312" w:eastAsia="仿宋_GB2312" w:cs="仿宋_GB2312"/>
          <w:sz w:val="28"/>
          <w:szCs w:val="28"/>
        </w:rPr>
        <w:t>门，实践课（C类）</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见表2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其中，建设了5门课证融通课程数，448学时；7门网络教学课程数，448学时。充足的课程供给满足了全校7个专业2823名学生的学习。</w:t>
      </w:r>
    </w:p>
    <w:p>
      <w:pPr>
        <w:pStyle w:val="6"/>
        <w:jc w:val="both"/>
        <w:rPr>
          <w:rFonts w:hint="eastAsia"/>
          <w:sz w:val="28"/>
          <w:szCs w:val="28"/>
          <w:lang w:val="en-US" w:eastAsia="zh-CN"/>
        </w:rPr>
      </w:pPr>
      <w:bookmarkStart w:id="22" w:name="_Toc10682"/>
      <w:r>
        <w:rPr>
          <w:rFonts w:hint="eastAsia" w:ascii="黑体" w:hAnsi="黑体" w:eastAsia="黑体" w:cs="黑体"/>
          <w:color w:val="9D0300"/>
          <w:sz w:val="28"/>
          <w:szCs w:val="28"/>
          <w:lang w:val="en-US" w:eastAsia="zh-CN"/>
        </w:rPr>
        <w:t xml:space="preserve">表 </w:t>
      </w:r>
      <w:r>
        <w:rPr>
          <w:rFonts w:hint="eastAsia" w:ascii="黑体" w:hAnsi="黑体" w:eastAsia="黑体" w:cs="黑体"/>
          <w:color w:val="9D0300"/>
          <w:sz w:val="28"/>
          <w:szCs w:val="28"/>
          <w:lang w:val="en-US" w:eastAsia="zh-CN"/>
        </w:rPr>
        <w:fldChar w:fldCharType="begin"/>
      </w:r>
      <w:r>
        <w:rPr>
          <w:rFonts w:hint="eastAsia" w:ascii="黑体" w:hAnsi="黑体" w:eastAsia="黑体" w:cs="黑体"/>
          <w:color w:val="9D0300"/>
          <w:sz w:val="28"/>
          <w:szCs w:val="28"/>
          <w:lang w:val="en-US" w:eastAsia="zh-CN"/>
        </w:rPr>
        <w:instrText xml:space="preserve"> SEQ 表 \* ARABIC </w:instrText>
      </w:r>
      <w:r>
        <w:rPr>
          <w:rFonts w:hint="eastAsia" w:ascii="黑体" w:hAnsi="黑体" w:eastAsia="黑体" w:cs="黑体"/>
          <w:color w:val="9D0300"/>
          <w:sz w:val="28"/>
          <w:szCs w:val="28"/>
          <w:lang w:val="en-US" w:eastAsia="zh-CN"/>
        </w:rPr>
        <w:fldChar w:fldCharType="separate"/>
      </w:r>
      <w:r>
        <w:rPr>
          <w:rFonts w:hint="eastAsia" w:ascii="黑体" w:hAnsi="黑体" w:eastAsia="黑体" w:cs="黑体"/>
          <w:color w:val="9D0300"/>
          <w:sz w:val="28"/>
          <w:szCs w:val="28"/>
          <w:lang w:val="en-US" w:eastAsia="zh-CN"/>
        </w:rPr>
        <w:t>2</w:t>
      </w:r>
      <w:r>
        <w:rPr>
          <w:rFonts w:hint="eastAsia" w:ascii="黑体" w:hAnsi="黑体" w:eastAsia="黑体" w:cs="黑体"/>
          <w:color w:val="9D0300"/>
          <w:sz w:val="28"/>
          <w:szCs w:val="28"/>
          <w:lang w:val="en-US" w:eastAsia="zh-CN"/>
        </w:rPr>
        <w:fldChar w:fldCharType="end"/>
      </w:r>
      <w:bookmarkStart w:id="23" w:name="_Toc4448"/>
      <w:bookmarkStart w:id="24" w:name="_Toc6293"/>
      <w:r>
        <w:rPr>
          <w:rFonts w:hint="eastAsia" w:ascii="黑体" w:hAnsi="黑体" w:cs="黑体"/>
          <w:color w:val="9D0300"/>
          <w:sz w:val="28"/>
          <w:szCs w:val="28"/>
          <w:lang w:val="en-US" w:eastAsia="zh-CN"/>
        </w:rPr>
        <w:t xml:space="preserve"> </w:t>
      </w:r>
      <w:r>
        <w:rPr>
          <w:rFonts w:hint="eastAsia" w:ascii="黑体" w:hAnsi="黑体" w:eastAsia="黑体" w:cs="黑体"/>
          <w:color w:val="9D0300"/>
          <w:sz w:val="28"/>
          <w:szCs w:val="28"/>
          <w:lang w:val="en-US" w:eastAsia="zh-CN"/>
        </w:rPr>
        <w:t>山东省莱阳卫生学校课程门数、学时统计表</w:t>
      </w:r>
      <w:bookmarkEnd w:id="23"/>
      <w:bookmarkEnd w:id="24"/>
    </w:p>
    <w:bookmarkEnd w:id="22"/>
    <w:tbl>
      <w:tblPr>
        <w:tblStyle w:val="18"/>
        <w:tblW w:w="87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24"/>
        <w:gridCol w:w="1690"/>
        <w:gridCol w:w="1690"/>
        <w:gridCol w:w="1210"/>
        <w:gridCol w:w="21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2024" w:type="dxa"/>
            <w:tcBorders>
              <w:tl2br w:val="nil"/>
              <w:tr2bl w:val="nil"/>
            </w:tcBorders>
            <w:shd w:val="clear" w:color="auto" w:fill="A20000"/>
            <w:noWrap/>
            <w:vAlign w:val="center"/>
          </w:tcPr>
          <w:p>
            <w:pPr>
              <w:bidi w:val="0"/>
              <w:jc w:val="center"/>
              <w:rPr>
                <w:rFonts w:hint="eastAsia" w:ascii="宋体" w:hAnsi="宋体" w:eastAsia="宋体" w:cs="宋体"/>
                <w:b/>
                <w:bCs/>
                <w:color w:val="FFFF00"/>
                <w:sz w:val="21"/>
                <w:szCs w:val="21"/>
              </w:rPr>
            </w:pPr>
            <w:r>
              <w:rPr>
                <w:rFonts w:hint="eastAsia" w:ascii="宋体" w:hAnsi="宋体" w:eastAsia="宋体" w:cs="宋体"/>
                <w:color w:val="FFFF00"/>
                <w:sz w:val="21"/>
                <w:szCs w:val="21"/>
                <w:lang w:val="en-US" w:eastAsia="zh-CN"/>
              </w:rPr>
              <w:t>专业</w:t>
            </w:r>
          </w:p>
        </w:tc>
        <w:tc>
          <w:tcPr>
            <w:tcW w:w="1690" w:type="dxa"/>
            <w:tcBorders>
              <w:tl2br w:val="nil"/>
              <w:tr2bl w:val="nil"/>
            </w:tcBorders>
            <w:shd w:val="clear" w:color="auto" w:fill="A20000"/>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b/>
                <w:bCs/>
                <w:color w:val="FFFF00"/>
                <w:sz w:val="21"/>
                <w:szCs w:val="21"/>
              </w:rPr>
            </w:pPr>
            <w:r>
              <w:rPr>
                <w:rFonts w:hint="eastAsia" w:ascii="宋体" w:hAnsi="宋体" w:eastAsia="宋体" w:cs="宋体"/>
                <w:b/>
                <w:bCs/>
                <w:color w:val="FFFF00"/>
                <w:sz w:val="21"/>
                <w:szCs w:val="21"/>
                <w:lang w:val="en-US" w:eastAsia="zh-CN"/>
              </w:rPr>
              <w:t>2023</w:t>
            </w:r>
            <w:r>
              <w:rPr>
                <w:rFonts w:hint="eastAsia" w:ascii="宋体" w:hAnsi="宋体" w:eastAsia="宋体" w:cs="宋体"/>
                <w:b/>
                <w:bCs/>
                <w:color w:val="FFFF00"/>
                <w:sz w:val="21"/>
                <w:szCs w:val="21"/>
              </w:rPr>
              <w:t>级</w:t>
            </w:r>
          </w:p>
        </w:tc>
        <w:tc>
          <w:tcPr>
            <w:tcW w:w="1690" w:type="dxa"/>
            <w:tcBorders>
              <w:tl2br w:val="nil"/>
              <w:tr2bl w:val="nil"/>
            </w:tcBorders>
            <w:shd w:val="clear" w:color="auto" w:fill="A20000"/>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b/>
                <w:bCs/>
                <w:color w:val="FFFF00"/>
                <w:sz w:val="21"/>
                <w:szCs w:val="21"/>
                <w:lang w:val="en-US" w:eastAsia="zh-CN"/>
              </w:rPr>
            </w:pPr>
            <w:r>
              <w:rPr>
                <w:rFonts w:hint="eastAsia" w:ascii="宋体" w:hAnsi="宋体" w:eastAsia="宋体" w:cs="宋体"/>
                <w:b/>
                <w:bCs/>
                <w:color w:val="FFFF00"/>
                <w:sz w:val="21"/>
                <w:szCs w:val="21"/>
                <w:lang w:val="en-US" w:eastAsia="zh-CN"/>
              </w:rPr>
              <w:t>课程门数</w:t>
            </w:r>
          </w:p>
        </w:tc>
        <w:tc>
          <w:tcPr>
            <w:tcW w:w="1210" w:type="dxa"/>
            <w:tcBorders>
              <w:tl2br w:val="nil"/>
              <w:tr2bl w:val="nil"/>
            </w:tcBorders>
            <w:shd w:val="clear" w:color="auto" w:fill="A20000"/>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b/>
                <w:bCs/>
                <w:color w:val="FFFF00"/>
                <w:sz w:val="21"/>
                <w:szCs w:val="21"/>
                <w:lang w:val="en-US" w:eastAsia="zh-CN"/>
              </w:rPr>
            </w:pPr>
            <w:r>
              <w:rPr>
                <w:rFonts w:hint="eastAsia" w:ascii="宋体" w:hAnsi="宋体" w:eastAsia="宋体" w:cs="宋体"/>
                <w:b/>
                <w:bCs/>
                <w:color w:val="FFFF00"/>
                <w:sz w:val="21"/>
                <w:szCs w:val="21"/>
                <w:lang w:val="en-US" w:eastAsia="zh-CN"/>
              </w:rPr>
              <w:t>学时</w:t>
            </w:r>
          </w:p>
        </w:tc>
        <w:tc>
          <w:tcPr>
            <w:tcW w:w="2173" w:type="dxa"/>
            <w:tcBorders>
              <w:tl2br w:val="nil"/>
              <w:tr2bl w:val="nil"/>
            </w:tcBorders>
            <w:shd w:val="clear" w:color="auto" w:fill="A20000"/>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b/>
                <w:bCs/>
                <w:color w:val="FFFF00"/>
                <w:sz w:val="21"/>
                <w:szCs w:val="21"/>
                <w:lang w:val="en-US" w:eastAsia="zh-CN"/>
              </w:rPr>
            </w:pPr>
            <w:r>
              <w:rPr>
                <w:rFonts w:hint="eastAsia" w:ascii="宋体" w:hAnsi="宋体" w:eastAsia="宋体" w:cs="宋体"/>
                <w:b/>
                <w:bCs/>
                <w:color w:val="FFFF00"/>
                <w:sz w:val="21"/>
                <w:szCs w:val="21"/>
                <w:lang w:val="en-US" w:eastAsia="zh-CN"/>
              </w:rPr>
              <w:t>占总学时比例（%）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4" w:type="dxa"/>
            <w:vMerge w:val="restart"/>
            <w:tcBorders>
              <w:tl2br w:val="nil"/>
              <w:tr2bl w:val="nil"/>
            </w:tcBorders>
            <w:shd w:val="clear" w:color="auto" w:fill="F9DBDF" w:themeFill="accent6"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FFFF00"/>
                <w:sz w:val="21"/>
                <w:szCs w:val="21"/>
                <w:lang w:val="en-US" w:eastAsia="zh-CN"/>
              </w:rPr>
            </w:pPr>
            <w:r>
              <w:rPr>
                <w:rFonts w:hint="eastAsia" w:ascii="宋体" w:hAnsi="宋体" w:eastAsia="宋体" w:cs="宋体"/>
                <w:color w:val="FFFF00"/>
                <w:sz w:val="21"/>
                <w:szCs w:val="21"/>
                <w:shd w:val="clear" w:fill="C55E10" w:themeFill="accent2" w:themeFillShade="BF"/>
                <w:lang w:val="en-US" w:eastAsia="zh-CN"/>
              </w:rPr>
              <w:t>课程属性</w:t>
            </w:r>
          </w:p>
        </w:tc>
        <w:tc>
          <w:tcPr>
            <w:tcW w:w="1690" w:type="dxa"/>
            <w:tcBorders>
              <w:tl2br w:val="nil"/>
              <w:tr2bl w:val="nil"/>
            </w:tcBorders>
            <w:shd w:val="clear" w:color="auto" w:fill="F9DBDF" w:themeFill="accent6" w:themeFillTint="32"/>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公共课</w:t>
            </w:r>
          </w:p>
        </w:tc>
        <w:tc>
          <w:tcPr>
            <w:tcW w:w="1690" w:type="dxa"/>
            <w:tcBorders>
              <w:tl2br w:val="nil"/>
              <w:tr2bl w:val="nil"/>
            </w:tcBorders>
            <w:shd w:val="clear" w:color="auto" w:fill="F9DBDF" w:themeFill="accent6" w:themeFillTint="32"/>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23</w:t>
            </w:r>
          </w:p>
        </w:tc>
        <w:tc>
          <w:tcPr>
            <w:tcW w:w="1210" w:type="dxa"/>
            <w:tcBorders>
              <w:tl2br w:val="nil"/>
              <w:tr2bl w:val="nil"/>
            </w:tcBorders>
            <w:shd w:val="clear" w:color="auto" w:fill="F9DBDF" w:themeFill="accent6" w:themeFillTint="32"/>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22</w:t>
            </w:r>
            <w:r>
              <w:rPr>
                <w:rFonts w:hint="eastAsia" w:ascii="宋体" w:hAnsi="宋体" w:eastAsia="宋体" w:cs="宋体"/>
                <w:color w:val="000000"/>
                <w:sz w:val="21"/>
                <w:szCs w:val="21"/>
                <w:lang w:val="en-US" w:eastAsia="zh-CN"/>
              </w:rPr>
              <w:t>318</w:t>
            </w:r>
          </w:p>
        </w:tc>
        <w:tc>
          <w:tcPr>
            <w:tcW w:w="2173" w:type="dxa"/>
            <w:tcBorders>
              <w:tl2br w:val="nil"/>
              <w:tr2bl w:val="nil"/>
            </w:tcBorders>
            <w:shd w:val="clear" w:color="auto" w:fill="F9DBDF" w:themeFill="accent6" w:themeFillTint="32"/>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38.</w:t>
            </w:r>
            <w:r>
              <w:rPr>
                <w:rFonts w:hint="eastAsia" w:ascii="宋体" w:hAnsi="宋体" w:eastAsia="宋体" w:cs="宋体"/>
                <w:color w:val="000000"/>
                <w:sz w:val="21"/>
                <w:szCs w:val="21"/>
                <w:lang w:val="en-US" w:eastAsia="zh-CN"/>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4" w:type="dxa"/>
            <w:vMerge w:val="continue"/>
            <w:tcBorders>
              <w:tl2br w:val="nil"/>
              <w:tr2bl w:val="nil"/>
            </w:tcBorders>
            <w:shd w:val="clear" w:color="auto" w:fill="F9DBDF" w:themeFill="accent6"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FFFF00"/>
                <w:sz w:val="21"/>
                <w:szCs w:val="21"/>
              </w:rPr>
            </w:pPr>
          </w:p>
        </w:tc>
        <w:tc>
          <w:tcPr>
            <w:tcW w:w="1690" w:type="dxa"/>
            <w:tcBorders>
              <w:tl2br w:val="nil"/>
              <w:tr2bl w:val="nil"/>
            </w:tcBorders>
            <w:shd w:val="clear" w:color="auto" w:fill="FEF2CB" w:themeFill="accent3" w:themeFillTint="32"/>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专业基础课</w:t>
            </w:r>
          </w:p>
        </w:tc>
        <w:tc>
          <w:tcPr>
            <w:tcW w:w="1690" w:type="dxa"/>
            <w:tcBorders>
              <w:tl2br w:val="nil"/>
              <w:tr2bl w:val="nil"/>
            </w:tcBorders>
            <w:shd w:val="clear" w:color="auto" w:fill="FEF2CB" w:themeFill="accent3" w:themeFillTint="32"/>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37</w:t>
            </w:r>
          </w:p>
        </w:tc>
        <w:tc>
          <w:tcPr>
            <w:tcW w:w="1210" w:type="dxa"/>
            <w:tcBorders>
              <w:tl2br w:val="nil"/>
              <w:tr2bl w:val="nil"/>
            </w:tcBorders>
            <w:shd w:val="clear" w:color="auto" w:fill="FEF2CB" w:themeFill="accent3" w:themeFillTint="32"/>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8</w:t>
            </w:r>
            <w:r>
              <w:rPr>
                <w:rFonts w:hint="eastAsia" w:ascii="宋体" w:hAnsi="宋体" w:eastAsia="宋体" w:cs="宋体"/>
                <w:color w:val="000000"/>
                <w:sz w:val="21"/>
                <w:szCs w:val="21"/>
                <w:lang w:val="en-US" w:eastAsia="zh-CN"/>
              </w:rPr>
              <w:t>452</w:t>
            </w:r>
          </w:p>
        </w:tc>
        <w:tc>
          <w:tcPr>
            <w:tcW w:w="2173" w:type="dxa"/>
            <w:tcBorders>
              <w:tl2br w:val="nil"/>
              <w:tr2bl w:val="nil"/>
            </w:tcBorders>
            <w:shd w:val="clear" w:color="auto" w:fill="FEF2CB" w:themeFill="accent3" w:themeFillTint="32"/>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14.</w:t>
            </w:r>
            <w:r>
              <w:rPr>
                <w:rFonts w:hint="eastAsia" w:ascii="宋体" w:hAnsi="宋体" w:eastAsia="宋体" w:cs="宋体"/>
                <w:color w:val="000000"/>
                <w:sz w:val="21"/>
                <w:szCs w:val="21"/>
                <w:lang w:val="en-US" w:eastAsia="zh-CN"/>
              </w:rPr>
              <w:t>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4" w:type="dxa"/>
            <w:vMerge w:val="continue"/>
            <w:tcBorders>
              <w:tl2br w:val="nil"/>
              <w:tr2bl w:val="nil"/>
            </w:tcBorders>
            <w:shd w:val="clear" w:color="auto" w:fill="F9DBDF" w:themeFill="accent6"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FFFF00"/>
                <w:sz w:val="21"/>
                <w:szCs w:val="21"/>
              </w:rPr>
            </w:pPr>
          </w:p>
        </w:tc>
        <w:tc>
          <w:tcPr>
            <w:tcW w:w="1690" w:type="dxa"/>
            <w:tcBorders>
              <w:tl2br w:val="nil"/>
              <w:tr2bl w:val="nil"/>
            </w:tcBorders>
            <w:shd w:val="clear" w:color="auto" w:fill="F9DBDF" w:themeFill="accent6" w:themeFillTint="32"/>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专业课</w:t>
            </w:r>
          </w:p>
        </w:tc>
        <w:tc>
          <w:tcPr>
            <w:tcW w:w="1690" w:type="dxa"/>
            <w:tcBorders>
              <w:tl2br w:val="nil"/>
              <w:tr2bl w:val="nil"/>
            </w:tcBorders>
            <w:shd w:val="clear" w:color="auto" w:fill="F9DBDF" w:themeFill="accent6" w:themeFillTint="32"/>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122</w:t>
            </w:r>
          </w:p>
        </w:tc>
        <w:tc>
          <w:tcPr>
            <w:tcW w:w="1210" w:type="dxa"/>
            <w:tcBorders>
              <w:tl2br w:val="nil"/>
              <w:tr2bl w:val="nil"/>
            </w:tcBorders>
            <w:shd w:val="clear" w:color="auto" w:fill="F9DBDF" w:themeFill="accent6" w:themeFillTint="32"/>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2</w:t>
            </w:r>
            <w:r>
              <w:rPr>
                <w:rFonts w:hint="eastAsia" w:ascii="宋体" w:hAnsi="宋体" w:eastAsia="宋体" w:cs="宋体"/>
                <w:color w:val="000000"/>
                <w:sz w:val="21"/>
                <w:szCs w:val="21"/>
                <w:lang w:val="en-US" w:eastAsia="zh-CN"/>
              </w:rPr>
              <w:t>7742</w:t>
            </w:r>
          </w:p>
        </w:tc>
        <w:tc>
          <w:tcPr>
            <w:tcW w:w="2173" w:type="dxa"/>
            <w:tcBorders>
              <w:tl2br w:val="nil"/>
              <w:tr2bl w:val="nil"/>
            </w:tcBorders>
            <w:shd w:val="clear" w:color="auto" w:fill="F9DBDF" w:themeFill="accent6" w:themeFillTint="32"/>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47.</w:t>
            </w:r>
            <w:r>
              <w:rPr>
                <w:rFonts w:hint="eastAsia" w:ascii="宋体" w:hAnsi="宋体" w:eastAsia="宋体" w:cs="宋体"/>
                <w:color w:val="000000"/>
                <w:sz w:val="21"/>
                <w:szCs w:val="21"/>
                <w:lang w:val="en-US" w:eastAsia="zh-CN"/>
              </w:rPr>
              <w:t>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4" w:type="dxa"/>
            <w:vMerge w:val="restart"/>
            <w:tcBorders>
              <w:tl2br w:val="nil"/>
              <w:tr2bl w:val="nil"/>
            </w:tcBorders>
            <w:shd w:val="clear" w:color="auto" w:fill="FEF2CB" w:themeFill="accent3"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FFFF00"/>
                <w:sz w:val="21"/>
                <w:szCs w:val="21"/>
                <w:lang w:val="en-US" w:eastAsia="zh-CN"/>
              </w:rPr>
            </w:pPr>
            <w:r>
              <w:rPr>
                <w:rFonts w:hint="eastAsia" w:ascii="宋体" w:hAnsi="宋体" w:eastAsia="宋体" w:cs="宋体"/>
                <w:color w:val="FFFF00"/>
                <w:sz w:val="21"/>
                <w:szCs w:val="21"/>
                <w:shd w:val="clear" w:fill="C55E10" w:themeFill="accent2" w:themeFillShade="BF"/>
                <w:lang w:val="en-US" w:eastAsia="zh-CN"/>
              </w:rPr>
              <w:t>课程类型</w:t>
            </w:r>
          </w:p>
        </w:tc>
        <w:tc>
          <w:tcPr>
            <w:tcW w:w="1690" w:type="dxa"/>
            <w:tcBorders>
              <w:tl2br w:val="nil"/>
              <w:tr2bl w:val="nil"/>
            </w:tcBorders>
            <w:shd w:val="clear" w:color="auto" w:fill="FEF2CB" w:themeFill="accent3" w:themeFillTint="32"/>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A类课程</w:t>
            </w:r>
          </w:p>
        </w:tc>
        <w:tc>
          <w:tcPr>
            <w:tcW w:w="1690" w:type="dxa"/>
            <w:tcBorders>
              <w:tl2br w:val="nil"/>
              <w:tr2bl w:val="nil"/>
            </w:tcBorders>
            <w:shd w:val="clear" w:color="auto" w:fill="FEF2CB" w:themeFill="accent3" w:themeFillTint="32"/>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19</w:t>
            </w:r>
          </w:p>
        </w:tc>
        <w:tc>
          <w:tcPr>
            <w:tcW w:w="1210" w:type="dxa"/>
            <w:tcBorders>
              <w:tl2br w:val="nil"/>
              <w:tr2bl w:val="nil"/>
            </w:tcBorders>
            <w:shd w:val="clear" w:color="auto" w:fill="FEF2CB" w:themeFill="accent3" w:themeFillTint="32"/>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15</w:t>
            </w:r>
            <w:r>
              <w:rPr>
                <w:rFonts w:hint="eastAsia" w:ascii="宋体" w:hAnsi="宋体" w:eastAsia="宋体" w:cs="宋体"/>
                <w:color w:val="000000"/>
                <w:sz w:val="21"/>
                <w:szCs w:val="21"/>
                <w:lang w:val="en-US" w:eastAsia="zh-CN"/>
              </w:rPr>
              <w:t>340</w:t>
            </w:r>
          </w:p>
        </w:tc>
        <w:tc>
          <w:tcPr>
            <w:tcW w:w="2173" w:type="dxa"/>
            <w:tcBorders>
              <w:tl2br w:val="nil"/>
              <w:tr2bl w:val="nil"/>
            </w:tcBorders>
            <w:shd w:val="clear" w:color="auto" w:fill="FEF2CB" w:themeFill="accent3" w:themeFillTint="32"/>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26.</w:t>
            </w:r>
            <w:r>
              <w:rPr>
                <w:rFonts w:hint="eastAsia" w:ascii="宋体" w:hAnsi="宋体" w:eastAsia="宋体" w:cs="宋体"/>
                <w:color w:val="000000"/>
                <w:sz w:val="21"/>
                <w:szCs w:val="21"/>
                <w:lang w:val="en-US" w:eastAsia="zh-CN"/>
              </w:rPr>
              <w:t>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4" w:type="dxa"/>
            <w:vMerge w:val="continue"/>
            <w:tcBorders>
              <w:tl2br w:val="nil"/>
              <w:tr2bl w:val="nil"/>
            </w:tcBorders>
            <w:shd w:val="clear" w:color="auto" w:fill="FEF2CB" w:themeFill="accent3"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p>
        </w:tc>
        <w:tc>
          <w:tcPr>
            <w:tcW w:w="1690" w:type="dxa"/>
            <w:tcBorders>
              <w:tl2br w:val="nil"/>
              <w:tr2bl w:val="nil"/>
            </w:tcBorders>
            <w:shd w:val="clear" w:color="auto" w:fill="F9DBDF" w:themeFill="accent6" w:themeFillTint="32"/>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B类课程</w:t>
            </w:r>
          </w:p>
        </w:tc>
        <w:tc>
          <w:tcPr>
            <w:tcW w:w="1690" w:type="dxa"/>
            <w:tcBorders>
              <w:tl2br w:val="nil"/>
              <w:tr2bl w:val="nil"/>
            </w:tcBorders>
            <w:shd w:val="clear" w:color="auto" w:fill="F9DBDF" w:themeFill="accent6" w:themeFillTint="32"/>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161</w:t>
            </w:r>
          </w:p>
        </w:tc>
        <w:tc>
          <w:tcPr>
            <w:tcW w:w="1210" w:type="dxa"/>
            <w:tcBorders>
              <w:tl2br w:val="nil"/>
              <w:tr2bl w:val="nil"/>
            </w:tcBorders>
            <w:shd w:val="clear" w:color="auto" w:fill="F9DBDF" w:themeFill="accent6" w:themeFillTint="32"/>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41</w:t>
            </w:r>
            <w:r>
              <w:rPr>
                <w:rFonts w:hint="eastAsia" w:ascii="宋体" w:hAnsi="宋体" w:eastAsia="宋体" w:cs="宋体"/>
                <w:color w:val="000000"/>
                <w:sz w:val="21"/>
                <w:szCs w:val="21"/>
                <w:lang w:val="en-US" w:eastAsia="zh-CN"/>
              </w:rPr>
              <w:t>804</w:t>
            </w:r>
          </w:p>
        </w:tc>
        <w:tc>
          <w:tcPr>
            <w:tcW w:w="2173" w:type="dxa"/>
            <w:tcBorders>
              <w:tl2br w:val="nil"/>
              <w:tr2bl w:val="nil"/>
            </w:tcBorders>
            <w:shd w:val="clear" w:color="auto" w:fill="F9DBDF" w:themeFill="accent6" w:themeFillTint="32"/>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71.</w:t>
            </w:r>
            <w:r>
              <w:rPr>
                <w:rFonts w:hint="eastAsia" w:ascii="宋体" w:hAnsi="宋体" w:eastAsia="宋体" w:cs="宋体"/>
                <w:color w:val="000000"/>
                <w:sz w:val="21"/>
                <w:szCs w:val="21"/>
                <w:lang w:val="en-US" w:eastAsia="zh-CN"/>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2024" w:type="dxa"/>
            <w:vMerge w:val="continue"/>
            <w:tcBorders>
              <w:tl2br w:val="nil"/>
              <w:tr2bl w:val="nil"/>
            </w:tcBorders>
            <w:shd w:val="clear" w:color="auto" w:fill="FEF2CB" w:themeFill="accent3" w:themeFillTint="32"/>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color w:val="000000"/>
                <w:sz w:val="21"/>
                <w:szCs w:val="21"/>
              </w:rPr>
            </w:pPr>
          </w:p>
        </w:tc>
        <w:tc>
          <w:tcPr>
            <w:tcW w:w="1690" w:type="dxa"/>
            <w:tcBorders>
              <w:tl2br w:val="nil"/>
              <w:tr2bl w:val="nil"/>
            </w:tcBorders>
            <w:shd w:val="clear" w:color="auto" w:fill="FEF2CB" w:themeFill="accent3" w:themeFillTint="32"/>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C类课程</w:t>
            </w:r>
          </w:p>
        </w:tc>
        <w:tc>
          <w:tcPr>
            <w:tcW w:w="1690" w:type="dxa"/>
            <w:tcBorders>
              <w:tl2br w:val="nil"/>
              <w:tr2bl w:val="nil"/>
            </w:tcBorders>
            <w:shd w:val="clear" w:color="auto" w:fill="FEF2CB" w:themeFill="accent3" w:themeFillTint="32"/>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val="en-US" w:eastAsia="zh-CN" w:bidi="ar"/>
              </w:rPr>
              <w:t>2</w:t>
            </w:r>
          </w:p>
        </w:tc>
        <w:tc>
          <w:tcPr>
            <w:tcW w:w="1210" w:type="dxa"/>
            <w:tcBorders>
              <w:tl2br w:val="nil"/>
              <w:tr2bl w:val="nil"/>
            </w:tcBorders>
            <w:shd w:val="clear" w:color="auto" w:fill="FEF2CB" w:themeFill="accent3" w:themeFillTint="32"/>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1368</w:t>
            </w:r>
          </w:p>
        </w:tc>
        <w:tc>
          <w:tcPr>
            <w:tcW w:w="2173" w:type="dxa"/>
            <w:tcBorders>
              <w:tl2br w:val="nil"/>
              <w:tr2bl w:val="nil"/>
            </w:tcBorders>
            <w:shd w:val="clear" w:color="auto" w:fill="FEF2CB" w:themeFill="accent3" w:themeFillTint="32"/>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2.34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3714" w:type="dxa"/>
            <w:gridSpan w:val="2"/>
            <w:tcBorders>
              <w:tl2br w:val="nil"/>
              <w:tr2bl w:val="nil"/>
            </w:tcBorders>
            <w:shd w:val="clear" w:color="auto" w:fill="A20000"/>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b/>
                <w:bCs/>
                <w:color w:val="FFFF00"/>
                <w:sz w:val="21"/>
                <w:szCs w:val="21"/>
              </w:rPr>
            </w:pPr>
            <w:r>
              <w:rPr>
                <w:rFonts w:hint="eastAsia" w:ascii="宋体" w:hAnsi="宋体" w:eastAsia="宋体" w:cs="宋体"/>
                <w:b/>
                <w:bCs/>
                <w:color w:val="FFFF00"/>
                <w:sz w:val="21"/>
                <w:szCs w:val="21"/>
                <w:lang w:val="en-US" w:eastAsia="zh-CN"/>
              </w:rPr>
              <w:t>合</w:t>
            </w:r>
            <w:r>
              <w:rPr>
                <w:rFonts w:hint="eastAsia" w:ascii="宋体" w:hAnsi="宋体" w:eastAsia="宋体" w:cs="宋体"/>
                <w:b/>
                <w:bCs/>
                <w:color w:val="FFFF00"/>
                <w:sz w:val="21"/>
                <w:szCs w:val="21"/>
              </w:rPr>
              <w:t>计</w:t>
            </w:r>
          </w:p>
        </w:tc>
        <w:tc>
          <w:tcPr>
            <w:tcW w:w="1690" w:type="dxa"/>
            <w:tcBorders>
              <w:tl2br w:val="nil"/>
              <w:tr2bl w:val="nil"/>
            </w:tcBorders>
            <w:shd w:val="clear" w:color="auto" w:fill="A20000"/>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b/>
                <w:bCs/>
                <w:color w:val="FFFF00"/>
                <w:sz w:val="21"/>
                <w:szCs w:val="21"/>
                <w:lang w:val="en-US" w:eastAsia="zh-CN"/>
              </w:rPr>
            </w:pPr>
            <w:r>
              <w:rPr>
                <w:rFonts w:hint="eastAsia" w:ascii="宋体" w:hAnsi="宋体" w:eastAsia="宋体" w:cs="宋体"/>
                <w:b/>
                <w:bCs/>
                <w:color w:val="FFFF00"/>
                <w:sz w:val="21"/>
                <w:szCs w:val="21"/>
                <w:lang w:val="en-US" w:eastAsia="zh-CN"/>
              </w:rPr>
              <w:t>182</w:t>
            </w:r>
          </w:p>
        </w:tc>
        <w:tc>
          <w:tcPr>
            <w:tcW w:w="1210" w:type="dxa"/>
            <w:tcBorders>
              <w:tl2br w:val="nil"/>
              <w:tr2bl w:val="nil"/>
            </w:tcBorders>
            <w:shd w:val="clear" w:color="auto" w:fill="A20000"/>
            <w:noWrap/>
            <w:vAlign w:val="center"/>
          </w:tcPr>
          <w:p>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宋体" w:hAnsi="宋体" w:eastAsia="宋体" w:cs="宋体"/>
                <w:b/>
                <w:bCs/>
                <w:color w:val="FFFF00"/>
                <w:sz w:val="21"/>
                <w:szCs w:val="21"/>
                <w:lang w:val="en-US" w:eastAsia="zh-CN"/>
              </w:rPr>
            </w:pPr>
            <w:r>
              <w:rPr>
                <w:rFonts w:hint="eastAsia" w:ascii="宋体" w:hAnsi="宋体" w:eastAsia="宋体" w:cs="宋体"/>
                <w:b/>
                <w:bCs/>
                <w:color w:val="FFFF00"/>
                <w:sz w:val="21"/>
                <w:szCs w:val="21"/>
                <w:lang w:val="en-US" w:eastAsia="zh-CN"/>
              </w:rPr>
              <w:t>58512</w:t>
            </w:r>
          </w:p>
        </w:tc>
        <w:tc>
          <w:tcPr>
            <w:tcW w:w="2173" w:type="dxa"/>
            <w:tcBorders>
              <w:tl2br w:val="nil"/>
              <w:tr2bl w:val="nil"/>
            </w:tcBorders>
            <w:shd w:val="clear" w:color="auto" w:fill="A20000"/>
            <w:noWrap/>
            <w:vAlign w:val="center"/>
          </w:tcPr>
          <w:p>
            <w:pPr>
              <w:keepNext w:val="0"/>
              <w:keepLines w:val="0"/>
              <w:pageBreakBefore w:val="0"/>
              <w:kinsoku/>
              <w:wordWrap/>
              <w:overflowPunct/>
              <w:topLinePunct w:val="0"/>
              <w:autoSpaceDE/>
              <w:autoSpaceDN/>
              <w:bidi w:val="0"/>
              <w:adjustRightInd/>
              <w:snapToGrid/>
              <w:ind w:firstLine="0" w:firstLineChars="0"/>
              <w:jc w:val="center"/>
              <w:rPr>
                <w:rFonts w:hint="eastAsia" w:ascii="宋体" w:hAnsi="宋体" w:eastAsia="宋体" w:cs="宋体"/>
                <w:color w:val="000000"/>
                <w:kern w:val="2"/>
                <w:sz w:val="21"/>
                <w:szCs w:val="21"/>
                <w:lang w:val="en-US" w:eastAsia="zh-CN" w:bidi="ar-SA"/>
              </w:rPr>
            </w:pPr>
            <w:r>
              <w:rPr>
                <w:rFonts w:hint="eastAsia" w:ascii="宋体" w:hAnsi="宋体" w:eastAsia="宋体" w:cs="宋体"/>
                <w:b/>
                <w:bCs/>
                <w:color w:val="FFFF00"/>
                <w:sz w:val="21"/>
                <w:szCs w:val="21"/>
                <w:lang w:val="en-US" w:eastAsia="zh-CN"/>
              </w:rPr>
              <w:t>100.00%</w:t>
            </w:r>
          </w:p>
        </w:tc>
      </w:tr>
    </w:tbl>
    <w:p>
      <w:pPr>
        <w:rPr>
          <w:rFonts w:hint="eastAsia" w:ascii="宋体" w:hAnsi="宋体" w:eastAsia="宋体" w:cs="宋体"/>
          <w:b/>
          <w:bCs/>
          <w:color w:val="A20000"/>
          <w:sz w:val="32"/>
          <w:szCs w:val="32"/>
          <w:highlight w:val="none"/>
        </w:rPr>
      </w:pPr>
      <w:r>
        <w:rPr>
          <w:rFonts w:hint="eastAsia" w:ascii="宋体" w:hAnsi="宋体" w:eastAsia="宋体" w:cs="宋体"/>
          <w:lang w:val="en-US" w:eastAsia="zh-CN"/>
        </w:rPr>
        <w:t>数据来源：山东省莱阳卫生学校教务处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华文新魏" w:hAnsi="华文新魏" w:eastAsia="华文新魏" w:cs="华文新魏"/>
          <w:b/>
          <w:bCs/>
          <w:color w:val="A20000"/>
          <w:sz w:val="32"/>
          <w:szCs w:val="32"/>
          <w:highlight w:val="none"/>
          <w:lang w:val="en-US" w:eastAsia="zh-CN"/>
        </w:rPr>
      </w:pPr>
      <w:r>
        <w:rPr>
          <w:rFonts w:hint="eastAsia" w:ascii="华文新魏" w:hAnsi="华文新魏" w:eastAsia="华文新魏" w:cs="华文新魏"/>
          <w:b/>
          <w:bCs/>
          <w:color w:val="A20000"/>
          <w:sz w:val="32"/>
          <w:szCs w:val="32"/>
          <w:highlight w:val="none"/>
          <w:lang w:val="en-US" w:eastAsia="zh-CN"/>
        </w:rPr>
        <w:t xml:space="preserve">案例 </w:t>
      </w:r>
      <w:r>
        <w:rPr>
          <w:rFonts w:hint="eastAsia" w:ascii="华文新魏" w:hAnsi="华文新魏" w:eastAsia="华文新魏" w:cs="华文新魏"/>
          <w:b/>
          <w:bCs/>
          <w:color w:val="A20000"/>
          <w:sz w:val="32"/>
          <w:szCs w:val="32"/>
          <w:highlight w:val="none"/>
          <w:lang w:val="en-US" w:eastAsia="zh-CN"/>
        </w:rPr>
        <w:fldChar w:fldCharType="begin"/>
      </w:r>
      <w:r>
        <w:rPr>
          <w:rFonts w:hint="eastAsia" w:ascii="华文新魏" w:hAnsi="华文新魏" w:eastAsia="华文新魏" w:cs="华文新魏"/>
          <w:b/>
          <w:bCs/>
          <w:color w:val="A20000"/>
          <w:sz w:val="32"/>
          <w:szCs w:val="32"/>
          <w:highlight w:val="none"/>
          <w:lang w:val="en-US" w:eastAsia="zh-CN"/>
        </w:rPr>
        <w:instrText xml:space="preserve"> SEQ 案例 \* ARABIC </w:instrText>
      </w:r>
      <w:r>
        <w:rPr>
          <w:rFonts w:hint="eastAsia" w:ascii="华文新魏" w:hAnsi="华文新魏" w:eastAsia="华文新魏" w:cs="华文新魏"/>
          <w:b/>
          <w:bCs/>
          <w:color w:val="A20000"/>
          <w:sz w:val="32"/>
          <w:szCs w:val="32"/>
          <w:highlight w:val="none"/>
          <w:lang w:val="en-US" w:eastAsia="zh-CN"/>
        </w:rPr>
        <w:fldChar w:fldCharType="separate"/>
      </w:r>
      <w:r>
        <w:rPr>
          <w:rFonts w:hint="eastAsia" w:ascii="华文新魏" w:hAnsi="华文新魏" w:eastAsia="华文新魏" w:cs="华文新魏"/>
          <w:b/>
          <w:bCs/>
          <w:color w:val="A20000"/>
          <w:sz w:val="32"/>
          <w:szCs w:val="32"/>
          <w:highlight w:val="none"/>
          <w:lang w:val="en-US" w:eastAsia="zh-CN"/>
        </w:rPr>
        <w:t>6</w:t>
      </w:r>
      <w:r>
        <w:rPr>
          <w:rFonts w:hint="eastAsia" w:ascii="华文新魏" w:hAnsi="华文新魏" w:eastAsia="华文新魏" w:cs="华文新魏"/>
          <w:b/>
          <w:bCs/>
          <w:color w:val="A20000"/>
          <w:sz w:val="32"/>
          <w:szCs w:val="32"/>
          <w:highlight w:val="none"/>
          <w:lang w:val="en-US" w:eastAsia="zh-CN"/>
        </w:rPr>
        <w:fldChar w:fldCharType="end"/>
      </w:r>
      <w:bookmarkStart w:id="25" w:name="_Toc7300"/>
      <w:r>
        <w:rPr>
          <w:rFonts w:hint="eastAsia" w:ascii="华文新魏" w:hAnsi="华文新魏" w:eastAsia="华文新魏" w:cs="华文新魏"/>
          <w:b/>
          <w:bCs/>
          <w:color w:val="A20000"/>
          <w:sz w:val="32"/>
          <w:szCs w:val="32"/>
          <w:highlight w:val="none"/>
          <w:lang w:val="en-US" w:eastAsia="zh-CN"/>
        </w:rPr>
        <w:t>：充足的公共课程供给，赋能学生成长成才</w:t>
      </w:r>
      <w:bookmarkEnd w:id="25"/>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9"/>
        <w:rPr>
          <w:rFonts w:hint="eastAsia" w:ascii="仿宋_GB2312" w:hAnsi="仿宋_GB2312" w:eastAsia="仿宋_GB2312" w:cs="仿宋_GB2312"/>
          <w:b w:val="0"/>
          <w:kern w:val="2"/>
          <w:sz w:val="28"/>
          <w:szCs w:val="28"/>
          <w:lang w:val="en-US" w:eastAsia="zh-CN" w:bidi="ar-SA"/>
        </w:rPr>
      </w:pPr>
      <w:r>
        <w:rPr>
          <w:rFonts w:hint="eastAsia" w:ascii="楷体" w:hAnsi="楷体" w:eastAsia="楷体" w:cs="楷体"/>
          <w:b w:val="0"/>
          <w:kern w:val="2"/>
          <w:sz w:val="28"/>
          <w:szCs w:val="28"/>
          <w:lang w:val="en-US" w:eastAsia="zh-CN" w:bidi="ar-SA"/>
        </w:rPr>
        <w:t>学校坚持服务学生的可持续发展，实施“德育铸魂、智育提质、体育固本、美育润心、劳动强能”五大行动，落实《思想政治》《数学》《语文》《外语》《历史》《信息技术》《体育与健康》《艺术》《物理》《化学》等国家公共基础课程方案及标准，同时，开设《朗诵》《广告设计》《日语》《韩语》等素养公共课程，以及《美术》《音乐》等公共艺术课程的，为每一个学生提供1-2门个性化课程，拓宽学生知识面，培养学生的兴趣和爱好。</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b/>
          <w:bCs/>
          <w:color w:val="A20000"/>
          <w:kern w:val="2"/>
          <w:sz w:val="28"/>
          <w:szCs w:val="28"/>
          <w:lang w:val="en-US" w:eastAsia="zh-CN" w:bidi="ar-SA"/>
        </w:rPr>
        <w:t>课程</w:t>
      </w:r>
      <w:r>
        <w:rPr>
          <w:rFonts w:hint="eastAsia" w:ascii="仿宋_GB2312" w:hAnsi="仿宋_GB2312" w:eastAsia="仿宋_GB2312" w:cs="仿宋_GB2312"/>
          <w:b/>
          <w:bCs/>
          <w:color w:val="A20000"/>
          <w:sz w:val="28"/>
          <w:szCs w:val="28"/>
          <w:lang w:val="en-US" w:eastAsia="zh-CN"/>
        </w:rPr>
        <w:t>思</w:t>
      </w:r>
      <w:r>
        <w:rPr>
          <w:rFonts w:hint="eastAsia" w:ascii="仿宋_GB2312" w:hAnsi="仿宋_GB2312" w:eastAsia="仿宋_GB2312" w:cs="仿宋_GB2312"/>
          <w:b/>
          <w:bCs/>
          <w:color w:val="A20000"/>
          <w:kern w:val="2"/>
          <w:sz w:val="28"/>
          <w:szCs w:val="28"/>
          <w:lang w:val="en-US" w:eastAsia="zh-CN" w:bidi="ar-SA"/>
        </w:rPr>
        <w:t>政全面开展</w:t>
      </w:r>
      <w:r>
        <w:rPr>
          <w:rFonts w:hint="eastAsia" w:ascii="仿宋" w:hAnsi="仿宋" w:eastAsia="仿宋" w:cs="仿宋"/>
          <w:sz w:val="28"/>
          <w:szCs w:val="28"/>
          <w:lang w:eastAsia="zh-CN"/>
        </w:rPr>
        <w:t>。</w:t>
      </w:r>
      <w:r>
        <w:rPr>
          <w:rFonts w:hint="eastAsia" w:ascii="仿宋_GB2312" w:hAnsi="仿宋_GB2312" w:eastAsia="仿宋_GB2312" w:cs="仿宋_GB2312"/>
          <w:b w:val="0"/>
          <w:kern w:val="2"/>
          <w:sz w:val="28"/>
          <w:szCs w:val="28"/>
          <w:lang w:val="en-US" w:eastAsia="zh-CN" w:bidi="ar-SA"/>
        </w:rPr>
        <w:t>学校坚持把思想政治教育元素和思想政治教育功能融入课堂教学各环节，全力推动以课</w:t>
      </w:r>
      <w:r>
        <w:rPr>
          <w:rFonts w:hint="eastAsia" w:ascii="仿宋" w:hAnsi="仿宋" w:eastAsia="仿宋" w:cs="仿宋"/>
          <w:sz w:val="28"/>
          <w:szCs w:val="28"/>
          <w:lang w:eastAsia="zh-CN"/>
        </w:rPr>
        <w:t>程思政</w:t>
      </w:r>
      <w:r>
        <w:rPr>
          <w:rFonts w:hint="eastAsia" w:ascii="仿宋" w:hAnsi="仿宋" w:eastAsia="仿宋" w:cs="仿宋"/>
          <w:sz w:val="28"/>
          <w:szCs w:val="28"/>
          <w:lang w:val="en-US" w:eastAsia="zh-CN"/>
        </w:rPr>
        <w:t>建设。学校</w:t>
      </w:r>
      <w:r>
        <w:rPr>
          <w:rFonts w:hint="eastAsia" w:ascii="仿宋_GB2312" w:hAnsi="仿宋_GB2312" w:eastAsia="仿宋_GB2312" w:cs="仿宋_GB2312"/>
          <w:b w:val="0"/>
          <w:kern w:val="2"/>
          <w:sz w:val="28"/>
          <w:szCs w:val="28"/>
          <w:lang w:val="en-US" w:eastAsia="zh-CN" w:bidi="ar-SA"/>
        </w:rPr>
        <w:t>定期组织思政课教师与专业课教师开展集中学习及教学研讨活动，探索课程思政育人体系与实施路径，各专业根据专业特点制定课程思政教学方案，组织开展课程思政教学研究专题培训和教学交流活动，开展课程思政示范推广活动，引导广大教师充分挖掘各类专业课程中蕴含的思想政治教育资源和育人功能，不断提高人才培养质量。每学期初，各专业开展“开学第一课”课程思政教育活动，精心组织开展融政治性、思想性、时代性和专业性于一体的“开学第一课”，受到学生的广泛欢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华文新魏" w:hAnsi="华文新魏" w:eastAsia="华文新魏" w:cs="华文新魏"/>
          <w:b/>
          <w:bCs/>
          <w:color w:val="A20000"/>
          <w:sz w:val="32"/>
          <w:szCs w:val="32"/>
          <w:highlight w:val="none"/>
          <w:lang w:val="en-US" w:eastAsia="zh-CN"/>
        </w:rPr>
      </w:pPr>
      <w:r>
        <w:rPr>
          <w:rFonts w:hint="eastAsia" w:ascii="华文新魏" w:hAnsi="华文新魏" w:eastAsia="华文新魏" w:cs="华文新魏"/>
          <w:b/>
          <w:bCs/>
          <w:color w:val="A20000"/>
          <w:sz w:val="32"/>
          <w:szCs w:val="32"/>
          <w:highlight w:val="none"/>
          <w:lang w:val="en-US" w:eastAsia="zh-CN"/>
        </w:rPr>
        <w:t xml:space="preserve">案例 </w:t>
      </w:r>
      <w:r>
        <w:rPr>
          <w:rFonts w:hint="eastAsia" w:ascii="华文新魏" w:hAnsi="华文新魏" w:eastAsia="华文新魏" w:cs="华文新魏"/>
          <w:b/>
          <w:bCs/>
          <w:color w:val="A20000"/>
          <w:sz w:val="32"/>
          <w:szCs w:val="32"/>
          <w:highlight w:val="none"/>
          <w:lang w:val="en-US" w:eastAsia="zh-CN"/>
        </w:rPr>
        <w:fldChar w:fldCharType="begin"/>
      </w:r>
      <w:r>
        <w:rPr>
          <w:rFonts w:hint="eastAsia" w:ascii="华文新魏" w:hAnsi="华文新魏" w:eastAsia="华文新魏" w:cs="华文新魏"/>
          <w:b/>
          <w:bCs/>
          <w:color w:val="A20000"/>
          <w:sz w:val="32"/>
          <w:szCs w:val="32"/>
          <w:highlight w:val="none"/>
          <w:lang w:val="en-US" w:eastAsia="zh-CN"/>
        </w:rPr>
        <w:instrText xml:space="preserve"> SEQ 案例 \* ARABIC </w:instrText>
      </w:r>
      <w:r>
        <w:rPr>
          <w:rFonts w:hint="eastAsia" w:ascii="华文新魏" w:hAnsi="华文新魏" w:eastAsia="华文新魏" w:cs="华文新魏"/>
          <w:b/>
          <w:bCs/>
          <w:color w:val="A20000"/>
          <w:sz w:val="32"/>
          <w:szCs w:val="32"/>
          <w:highlight w:val="none"/>
          <w:lang w:val="en-US" w:eastAsia="zh-CN"/>
        </w:rPr>
        <w:fldChar w:fldCharType="separate"/>
      </w:r>
      <w:r>
        <w:rPr>
          <w:rFonts w:hint="eastAsia" w:ascii="华文新魏" w:hAnsi="华文新魏" w:eastAsia="华文新魏" w:cs="华文新魏"/>
          <w:b/>
          <w:bCs/>
          <w:color w:val="A20000"/>
          <w:sz w:val="32"/>
          <w:szCs w:val="32"/>
          <w:highlight w:val="none"/>
          <w:lang w:val="en-US" w:eastAsia="zh-CN"/>
        </w:rPr>
        <w:t>7</w:t>
      </w:r>
      <w:r>
        <w:rPr>
          <w:rFonts w:hint="eastAsia" w:ascii="华文新魏" w:hAnsi="华文新魏" w:eastAsia="华文新魏" w:cs="华文新魏"/>
          <w:b/>
          <w:bCs/>
          <w:color w:val="A20000"/>
          <w:sz w:val="32"/>
          <w:szCs w:val="32"/>
          <w:highlight w:val="none"/>
          <w:lang w:val="en-US" w:eastAsia="zh-CN"/>
        </w:rPr>
        <w:fldChar w:fldCharType="end"/>
      </w:r>
      <w:bookmarkStart w:id="26" w:name="_Toc14526"/>
      <w:r>
        <w:rPr>
          <w:rFonts w:hint="eastAsia" w:ascii="华文新魏" w:hAnsi="华文新魏" w:eastAsia="华文新魏" w:cs="华文新魏"/>
          <w:b/>
          <w:bCs/>
          <w:color w:val="A20000"/>
          <w:sz w:val="32"/>
          <w:szCs w:val="32"/>
          <w:highlight w:val="none"/>
          <w:lang w:val="en-US" w:eastAsia="zh-CN"/>
        </w:rPr>
        <w:t>：践行课程思政理念，用心用情教书育人</w:t>
      </w:r>
      <w:bookmarkEnd w:id="26"/>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9"/>
        <w:rPr>
          <w:rFonts w:hint="eastAsia" w:ascii="仿宋_GB2312" w:hAnsi="仿宋_GB2312" w:eastAsia="仿宋_GB2312" w:cs="仿宋_GB2312"/>
          <w:sz w:val="28"/>
          <w:szCs w:val="28"/>
        </w:rPr>
      </w:pPr>
      <w:r>
        <w:rPr>
          <w:rFonts w:hint="eastAsia" w:ascii="楷体" w:hAnsi="楷体" w:eastAsia="楷体" w:cs="楷体"/>
          <w:sz w:val="28"/>
          <w:szCs w:val="28"/>
        </w:rPr>
        <w:t>学校坚持整体规划、系统设计，紧密围绕“课程思政与专业相融合、与课程相融合、与课堂相融合”的建设理念，构建“思想政治课程为引领、文化基础课程为支撑、专业课程为辐射、实践课程为载体”的课程思政教育教学体系，将课程思政与教研活动、教学比赛有机结合，形成教师人人研究课程思政、课堂时时浸润课程思政的良好氛围，专业课教师采用启发式、探究式、案例式等多种教学方法，引导学生主动思考、积极参与课堂讨论，通过开展实验、实训、社会实践等活动，让学生在实践中增长知识、提升能力，随时关注学生的思想动态和情感需求，积极与学生沟通交流，为学生提供个性化的指导和帮助，思政教育入心、入脑、入行动，实现知识传授、能力培养与价值引领相统一。</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
          <w:bCs/>
          <w:color w:val="A20000"/>
          <w:kern w:val="2"/>
          <w:sz w:val="28"/>
          <w:szCs w:val="28"/>
          <w:lang w:val="en-US" w:eastAsia="zh-CN" w:bidi="ar-SA"/>
        </w:rPr>
        <w:t>教学</w:t>
      </w:r>
      <w:r>
        <w:rPr>
          <w:rFonts w:hint="eastAsia" w:ascii="仿宋_GB2312" w:hAnsi="仿宋_GB2312" w:eastAsia="仿宋_GB2312" w:cs="仿宋_GB2312"/>
          <w:b/>
          <w:bCs/>
          <w:color w:val="A20000"/>
          <w:sz w:val="28"/>
          <w:szCs w:val="28"/>
          <w:lang w:val="en-US" w:eastAsia="zh-CN"/>
        </w:rPr>
        <w:t>改革</w:t>
      </w:r>
      <w:r>
        <w:rPr>
          <w:rFonts w:hint="eastAsia" w:ascii="仿宋_GB2312" w:hAnsi="仿宋_GB2312" w:eastAsia="仿宋_GB2312" w:cs="仿宋_GB2312"/>
          <w:b/>
          <w:bCs/>
          <w:color w:val="A20000"/>
          <w:kern w:val="2"/>
          <w:sz w:val="28"/>
          <w:szCs w:val="28"/>
          <w:lang w:val="en-US" w:eastAsia="zh-CN" w:bidi="ar-SA"/>
        </w:rPr>
        <w:t>不断推进。</w:t>
      </w:r>
      <w:r>
        <w:rPr>
          <w:rFonts w:hint="eastAsia" w:ascii="仿宋_GB2312" w:hAnsi="仿宋_GB2312" w:eastAsia="仿宋_GB2312" w:cs="仿宋_GB2312"/>
          <w:sz w:val="28"/>
          <w:szCs w:val="28"/>
          <w:lang w:val="en-US" w:eastAsia="zh-CN"/>
        </w:rPr>
        <w:t>学校不断</w:t>
      </w:r>
      <w:r>
        <w:rPr>
          <w:rFonts w:hint="eastAsia" w:ascii="仿宋_GB2312" w:hAnsi="仿宋_GB2312" w:eastAsia="仿宋_GB2312" w:cs="仿宋_GB2312"/>
          <w:sz w:val="28"/>
          <w:szCs w:val="28"/>
        </w:rPr>
        <w:t>深化教学改革，积极探索模块化、项目化、情镜化、理实一体化等教学模式，顺应职业教育发展趋势，遵循职教课堂教学规律，积极推进“三教”改革，运用现代信息技术改进教学方式，加强信息化手段、智能技术在教学中的运用，融合“1+X”职业技能等级证书要求，课证融合，构建组合灵活的模块化课程体系，实施项目式、案例式等教学方法，实行多元化、多形式考核评价，深入推进混合式教学模式，切实推动教与学方式</w:t>
      </w:r>
      <w:r>
        <w:rPr>
          <w:rFonts w:hint="eastAsia" w:ascii="仿宋_GB2312" w:hAnsi="仿宋_GB2312" w:eastAsia="仿宋_GB2312" w:cs="仿宋_GB2312"/>
          <w:sz w:val="28"/>
          <w:szCs w:val="28"/>
          <w:lang w:val="en-US" w:eastAsia="zh-CN"/>
        </w:rPr>
        <w:t>的</w:t>
      </w:r>
      <w:r>
        <w:rPr>
          <w:rFonts w:hint="eastAsia" w:ascii="仿宋_GB2312" w:hAnsi="仿宋_GB2312" w:eastAsia="仿宋_GB2312" w:cs="仿宋_GB2312"/>
          <w:sz w:val="28"/>
          <w:szCs w:val="28"/>
        </w:rPr>
        <w:t>转变，</w:t>
      </w:r>
      <w:r>
        <w:rPr>
          <w:rFonts w:hint="eastAsia" w:ascii="仿宋_GB2312" w:hAnsi="仿宋_GB2312" w:eastAsia="仿宋_GB2312" w:cs="仿宋_GB2312"/>
          <w:sz w:val="28"/>
          <w:szCs w:val="28"/>
          <w:lang w:val="en-US" w:eastAsia="zh-CN"/>
        </w:rPr>
        <w:t>增强了各类课程的吸引力，学生学习热情普遍提升，“满意度调查”数据显示，学生对课堂育人满意度、公共基础课（不含思想政治课）教学满意度、专业课教学满意度都在99%以上，其中，专业课教学满意度和公共基础课（不含思想政治课）教学满意度高达99.76%和99.72%，课堂育人满意度达99.72%，（见图6）</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outlineLvl w:val="9"/>
        <w:rPr>
          <w:rFonts w:hint="eastAsia" w:ascii="仿宋_GB2312" w:hAnsi="仿宋_GB2312" w:eastAsia="仿宋_GB2312" w:cs="仿宋_GB2312"/>
          <w:sz w:val="28"/>
          <w:szCs w:val="28"/>
        </w:rPr>
      </w:pPr>
      <w:r>
        <w:rPr>
          <w:rFonts w:hint="eastAsia" w:eastAsiaTheme="minorEastAsia"/>
          <w:lang w:eastAsia="zh-CN"/>
        </w:rPr>
        <w:drawing>
          <wp:inline distT="0" distB="0" distL="114300" distR="114300">
            <wp:extent cx="4982845" cy="2456815"/>
            <wp:effectExtent l="0" t="0" r="8255" b="63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14"/>
                    <a:stretch>
                      <a:fillRect/>
                    </a:stretch>
                  </pic:blipFill>
                  <pic:spPr>
                    <a:xfrm>
                      <a:off x="0" y="0"/>
                      <a:ext cx="4982845" cy="2456815"/>
                    </a:xfrm>
                    <a:prstGeom prst="rect">
                      <a:avLst/>
                    </a:prstGeom>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b w:val="0"/>
          <w:bCs/>
          <w:sz w:val="28"/>
          <w:szCs w:val="28"/>
          <w:lang w:val="en-US" w:eastAsia="zh-CN"/>
        </w:rPr>
      </w:pPr>
      <w:bookmarkStart w:id="27" w:name="_Toc20048"/>
      <w:r>
        <w:rPr>
          <w:rFonts w:hint="eastAsia" w:ascii="黑体" w:hAnsi="黑体" w:eastAsia="黑体" w:cs="黑体"/>
          <w:b w:val="0"/>
          <w:bCs/>
          <w:color w:val="9D0300"/>
          <w:sz w:val="28"/>
          <w:szCs w:val="28"/>
          <w:highlight w:val="none"/>
          <w:lang w:val="en-US" w:eastAsia="zh-CN"/>
        </w:rPr>
        <w:t xml:space="preserve">图 </w:t>
      </w:r>
      <w:r>
        <w:rPr>
          <w:rFonts w:hint="eastAsia" w:ascii="黑体" w:hAnsi="黑体" w:eastAsia="黑体" w:cs="黑体"/>
          <w:b w:val="0"/>
          <w:bCs/>
          <w:color w:val="9D0300"/>
          <w:sz w:val="28"/>
          <w:szCs w:val="28"/>
          <w:highlight w:val="none"/>
          <w:lang w:val="en-US" w:eastAsia="zh-CN"/>
        </w:rPr>
        <w:fldChar w:fldCharType="begin"/>
      </w:r>
      <w:r>
        <w:rPr>
          <w:rFonts w:hint="eastAsia" w:ascii="黑体" w:hAnsi="黑体" w:eastAsia="黑体" w:cs="黑体"/>
          <w:b w:val="0"/>
          <w:bCs/>
          <w:color w:val="9D0300"/>
          <w:sz w:val="28"/>
          <w:szCs w:val="28"/>
          <w:highlight w:val="none"/>
          <w:lang w:val="en-US" w:eastAsia="zh-CN"/>
        </w:rPr>
        <w:instrText xml:space="preserve"> SEQ 图 \* ARABIC </w:instrText>
      </w:r>
      <w:r>
        <w:rPr>
          <w:rFonts w:hint="eastAsia" w:ascii="黑体" w:hAnsi="黑体" w:eastAsia="黑体" w:cs="黑体"/>
          <w:b w:val="0"/>
          <w:bCs/>
          <w:color w:val="9D0300"/>
          <w:sz w:val="28"/>
          <w:szCs w:val="28"/>
          <w:highlight w:val="none"/>
          <w:lang w:val="en-US" w:eastAsia="zh-CN"/>
        </w:rPr>
        <w:fldChar w:fldCharType="separate"/>
      </w:r>
      <w:r>
        <w:rPr>
          <w:rFonts w:hint="eastAsia" w:ascii="黑体" w:hAnsi="黑体" w:eastAsia="黑体" w:cs="黑体"/>
          <w:b w:val="0"/>
          <w:bCs/>
          <w:color w:val="9D0300"/>
          <w:sz w:val="28"/>
          <w:szCs w:val="28"/>
          <w:highlight w:val="none"/>
          <w:lang w:val="en-US" w:eastAsia="zh-CN"/>
        </w:rPr>
        <w:t>6</w:t>
      </w:r>
      <w:r>
        <w:rPr>
          <w:rFonts w:hint="eastAsia" w:ascii="黑体" w:hAnsi="黑体" w:eastAsia="黑体" w:cs="黑体"/>
          <w:b w:val="0"/>
          <w:bCs/>
          <w:color w:val="9D0300"/>
          <w:sz w:val="28"/>
          <w:szCs w:val="28"/>
          <w:highlight w:val="none"/>
          <w:lang w:val="en-US" w:eastAsia="zh-CN"/>
        </w:rPr>
        <w:fldChar w:fldCharType="end"/>
      </w:r>
      <w:bookmarkStart w:id="28" w:name="_Toc18138"/>
      <w:r>
        <w:rPr>
          <w:rFonts w:hint="eastAsia" w:ascii="黑体" w:hAnsi="黑体" w:cs="黑体"/>
          <w:b w:val="0"/>
          <w:bCs/>
          <w:color w:val="9D0300"/>
          <w:sz w:val="28"/>
          <w:szCs w:val="28"/>
          <w:highlight w:val="none"/>
          <w:lang w:val="en-US" w:eastAsia="zh-CN"/>
        </w:rPr>
        <w:t xml:space="preserve"> </w:t>
      </w:r>
      <w:r>
        <w:rPr>
          <w:rFonts w:hint="eastAsia" w:ascii="黑体" w:hAnsi="黑体" w:eastAsia="黑体" w:cs="黑体"/>
          <w:b w:val="0"/>
          <w:bCs/>
          <w:color w:val="9D0300"/>
          <w:sz w:val="28"/>
          <w:szCs w:val="28"/>
          <w:highlight w:val="none"/>
          <w:lang w:val="en-US" w:eastAsia="zh-CN"/>
        </w:rPr>
        <w:t>学校2023年课堂育人、公共基础课教学和专业课教学满意度</w:t>
      </w:r>
      <w:bookmarkEnd w:id="28"/>
    </w:p>
    <w:bookmarkEnd w:id="27"/>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华文新魏" w:hAnsi="华文新魏" w:eastAsia="华文新魏" w:cs="华文新魏"/>
          <w:b/>
          <w:bCs/>
          <w:color w:val="A20000"/>
          <w:sz w:val="32"/>
          <w:szCs w:val="32"/>
          <w:highlight w:val="none"/>
          <w:lang w:val="en-US" w:eastAsia="zh-CN"/>
        </w:rPr>
      </w:pPr>
      <w:r>
        <w:rPr>
          <w:rFonts w:hint="eastAsia" w:ascii="华文新魏" w:hAnsi="华文新魏" w:eastAsia="华文新魏" w:cs="华文新魏"/>
          <w:b/>
          <w:bCs/>
          <w:color w:val="A20000"/>
          <w:sz w:val="32"/>
          <w:szCs w:val="32"/>
          <w:highlight w:val="none"/>
          <w:lang w:val="en-US" w:eastAsia="zh-CN"/>
        </w:rPr>
        <w:t xml:space="preserve">案例 </w:t>
      </w:r>
      <w:r>
        <w:rPr>
          <w:rFonts w:hint="eastAsia" w:ascii="华文新魏" w:hAnsi="华文新魏" w:eastAsia="华文新魏" w:cs="华文新魏"/>
          <w:b/>
          <w:bCs/>
          <w:color w:val="A20000"/>
          <w:sz w:val="32"/>
          <w:szCs w:val="32"/>
          <w:highlight w:val="none"/>
          <w:lang w:val="en-US" w:eastAsia="zh-CN"/>
        </w:rPr>
        <w:fldChar w:fldCharType="begin"/>
      </w:r>
      <w:r>
        <w:rPr>
          <w:rFonts w:hint="eastAsia" w:ascii="华文新魏" w:hAnsi="华文新魏" w:eastAsia="华文新魏" w:cs="华文新魏"/>
          <w:b/>
          <w:bCs/>
          <w:color w:val="A20000"/>
          <w:sz w:val="32"/>
          <w:szCs w:val="32"/>
          <w:highlight w:val="none"/>
          <w:lang w:val="en-US" w:eastAsia="zh-CN"/>
        </w:rPr>
        <w:instrText xml:space="preserve"> SEQ 案例 \* ARABIC </w:instrText>
      </w:r>
      <w:r>
        <w:rPr>
          <w:rFonts w:hint="eastAsia" w:ascii="华文新魏" w:hAnsi="华文新魏" w:eastAsia="华文新魏" w:cs="华文新魏"/>
          <w:b/>
          <w:bCs/>
          <w:color w:val="A20000"/>
          <w:sz w:val="32"/>
          <w:szCs w:val="32"/>
          <w:highlight w:val="none"/>
          <w:lang w:val="en-US" w:eastAsia="zh-CN"/>
        </w:rPr>
        <w:fldChar w:fldCharType="separate"/>
      </w:r>
      <w:r>
        <w:rPr>
          <w:rFonts w:hint="eastAsia" w:ascii="华文新魏" w:hAnsi="华文新魏" w:eastAsia="华文新魏" w:cs="华文新魏"/>
          <w:b/>
          <w:bCs/>
          <w:color w:val="A20000"/>
          <w:sz w:val="32"/>
          <w:szCs w:val="32"/>
          <w:highlight w:val="none"/>
          <w:lang w:val="en-US" w:eastAsia="zh-CN"/>
        </w:rPr>
        <w:t>8</w:t>
      </w:r>
      <w:r>
        <w:rPr>
          <w:rFonts w:hint="eastAsia" w:ascii="华文新魏" w:hAnsi="华文新魏" w:eastAsia="华文新魏" w:cs="华文新魏"/>
          <w:b/>
          <w:bCs/>
          <w:color w:val="A20000"/>
          <w:sz w:val="32"/>
          <w:szCs w:val="32"/>
          <w:highlight w:val="none"/>
          <w:lang w:val="en-US" w:eastAsia="zh-CN"/>
        </w:rPr>
        <w:fldChar w:fldCharType="end"/>
      </w:r>
      <w:bookmarkStart w:id="29" w:name="_Toc26737"/>
      <w:r>
        <w:rPr>
          <w:rFonts w:hint="eastAsia" w:ascii="华文新魏" w:hAnsi="华文新魏" w:eastAsia="华文新魏" w:cs="华文新魏"/>
          <w:b/>
          <w:bCs/>
          <w:color w:val="A20000"/>
          <w:sz w:val="32"/>
          <w:szCs w:val="32"/>
          <w:highlight w:val="none"/>
          <w:lang w:val="en-US" w:eastAsia="zh-CN"/>
        </w:rPr>
        <w:t>：改进教学方法，提高教学成效</w:t>
      </w:r>
      <w:bookmarkEnd w:id="29"/>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9"/>
        <w:rPr>
          <w:rFonts w:hint="eastAsia" w:ascii="楷体" w:hAnsi="楷体" w:eastAsia="楷体" w:cs="楷体"/>
          <w:sz w:val="28"/>
          <w:szCs w:val="28"/>
        </w:rPr>
      </w:pPr>
      <w:r>
        <w:rPr>
          <w:rFonts w:hint="eastAsia" w:ascii="楷体" w:hAnsi="楷体" w:eastAsia="楷体" w:cs="楷体"/>
          <w:sz w:val="28"/>
          <w:szCs w:val="28"/>
        </w:rPr>
        <w:t>学校积极推进现代信息技术与教育教学深度融合，建设在线教学平台及教学资源，满足学生个体发展的多样化需求。在专业课程教学中，面向医院、企业真实工作环境，坚持项目教学、案例教学、情境教学、模块化教学等教学方式，广泛运用启发式、探究式、讨论式、参与式等教学方法，推广混合式教学、理实一体教学等教学模式，促进自主泛在个性化学习。</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
          <w:bCs/>
          <w:color w:val="A20000"/>
          <w:kern w:val="2"/>
          <w:sz w:val="28"/>
          <w:szCs w:val="28"/>
          <w:lang w:val="en-US" w:eastAsia="zh-CN" w:bidi="ar-SA"/>
        </w:rPr>
        <w:t>教材建设助力人才培养。</w:t>
      </w:r>
      <w:r>
        <w:rPr>
          <w:rFonts w:hint="eastAsia" w:ascii="仿宋_GB2312" w:hAnsi="仿宋_GB2312" w:eastAsia="仿宋_GB2312" w:cs="仿宋_GB2312"/>
          <w:sz w:val="28"/>
          <w:szCs w:val="28"/>
        </w:rPr>
        <w:t>学校始终把教材建设作为提高人才培养质量的关键环节，积极完善教材选用管理制度，建立健全学校党委领导下的教材建设规划和教材管理组织机构，压实教材选用委员会责任，从教材建设规划、教材选用及教材编写等各环节，全过程进行教材管理。</w:t>
      </w:r>
      <w:r>
        <w:rPr>
          <w:rFonts w:hint="eastAsia" w:ascii="仿宋_GB2312" w:hAnsi="仿宋_GB2312" w:eastAsia="仿宋_GB2312" w:cs="仿宋_GB2312"/>
          <w:b w:val="0"/>
          <w:kern w:val="2"/>
          <w:sz w:val="28"/>
          <w:szCs w:val="28"/>
          <w:lang w:val="en-US" w:eastAsia="zh-CN" w:bidi="ar-SA"/>
        </w:rPr>
        <w:t>认真贯彻国家、省、市有关文件精神，落实教材管理要求，规范教材征订流程，严格教材选用范围，思想政治、语文、历史三科严格使用国家统编教材，优先选用国家规划教材。学校教材选用委员会坚持“凡选必审”，积极开展教材排查整改工作，把牢政治方向和价值导向，保证教材质量。学校</w:t>
      </w:r>
      <w:r>
        <w:rPr>
          <w:rFonts w:hint="eastAsia" w:ascii="仿宋_GB2312" w:hAnsi="仿宋_GB2312" w:eastAsia="仿宋_GB2312" w:cs="仿宋_GB2312"/>
          <w:sz w:val="28"/>
          <w:szCs w:val="28"/>
        </w:rPr>
        <w:t>以专业建设为引领，结合各专业人才培养方案，开发职业教育规划教材，</w:t>
      </w:r>
      <w:r>
        <w:rPr>
          <w:rFonts w:hint="eastAsia" w:ascii="仿宋_GB2312" w:hAnsi="仿宋_GB2312" w:eastAsia="仿宋_GB2312" w:cs="仿宋_GB2312"/>
          <w:sz w:val="28"/>
          <w:szCs w:val="28"/>
          <w:lang w:val="en-US" w:eastAsia="zh-CN"/>
        </w:rPr>
        <w:t>组织编写</w:t>
      </w:r>
      <w:r>
        <w:rPr>
          <w:rFonts w:hint="eastAsia" w:ascii="仿宋_GB2312" w:hAnsi="仿宋_GB2312" w:eastAsia="仿宋_GB2312" w:cs="仿宋_GB2312"/>
          <w:sz w:val="28"/>
          <w:szCs w:val="28"/>
          <w:highlight w:val="none"/>
          <w:lang w:eastAsia="zh-CN"/>
        </w:rPr>
        <w:t>《药店零售与服务技术》《实用医学基础》《药品储存与养护技术》</w:t>
      </w:r>
      <w:r>
        <w:rPr>
          <w:rFonts w:hint="eastAsia" w:ascii="仿宋_GB2312" w:hAnsi="仿宋_GB2312" w:eastAsia="仿宋_GB2312" w:cs="仿宋_GB2312"/>
          <w:sz w:val="28"/>
          <w:szCs w:val="28"/>
          <w:highlight w:val="none"/>
          <w:lang w:val="en-US" w:eastAsia="zh-CN"/>
        </w:rPr>
        <w:t>等</w:t>
      </w:r>
      <w:r>
        <w:rPr>
          <w:rFonts w:hint="eastAsia" w:ascii="仿宋_GB2312" w:hAnsi="仿宋_GB2312" w:eastAsia="仿宋_GB2312" w:cs="仿宋_GB2312"/>
          <w:sz w:val="28"/>
          <w:szCs w:val="28"/>
        </w:rPr>
        <w:t>3部</w:t>
      </w:r>
      <w:r>
        <w:rPr>
          <w:rFonts w:hint="eastAsia" w:ascii="仿宋_GB2312" w:hAnsi="仿宋_GB2312" w:eastAsia="仿宋_GB2312" w:cs="仿宋_GB2312"/>
          <w:sz w:val="28"/>
          <w:szCs w:val="28"/>
          <w:lang w:val="en-US" w:eastAsia="zh-CN"/>
        </w:rPr>
        <w:t>教材入选</w:t>
      </w:r>
      <w:r>
        <w:rPr>
          <w:rFonts w:hint="eastAsia" w:ascii="仿宋_GB2312" w:hAnsi="仿宋_GB2312" w:eastAsia="仿宋_GB2312" w:cs="仿宋_GB2312"/>
          <w:sz w:val="28"/>
          <w:szCs w:val="28"/>
        </w:rPr>
        <w:t>“十四五”职业教育国家规划教材。</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outlineLvl w:val="9"/>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b/>
          <w:bCs/>
          <w:color w:val="A20000"/>
          <w:kern w:val="2"/>
          <w:sz w:val="28"/>
          <w:szCs w:val="28"/>
          <w:lang w:val="en-US" w:eastAsia="zh-CN" w:bidi="ar-SA"/>
        </w:rPr>
        <w:t>数字资源建设赋能人才培养。</w:t>
      </w:r>
      <w:r>
        <w:rPr>
          <w:rFonts w:hint="eastAsia" w:ascii="仿宋_GB2312" w:hAnsi="仿宋_GB2312" w:eastAsia="仿宋_GB2312" w:cs="仿宋_GB2312"/>
          <w:sz w:val="28"/>
          <w:szCs w:val="28"/>
          <w:lang w:val="en-US" w:eastAsia="zh-CN"/>
        </w:rPr>
        <w:t>学校依照省级在线开放课程建设标准，按照“依托平台、典型示范、共建共享”一体化课程建设模式，</w:t>
      </w:r>
      <w:r>
        <w:rPr>
          <w:rFonts w:hint="eastAsia" w:ascii="仿宋_GB2312" w:hAnsi="仿宋_GB2312" w:eastAsia="仿宋_GB2312" w:cs="仿宋_GB2312"/>
          <w:sz w:val="28"/>
          <w:szCs w:val="28"/>
        </w:rPr>
        <w:t>利用腾讯会议</w:t>
      </w:r>
      <w:r>
        <w:rPr>
          <w:rFonts w:hint="eastAsia" w:ascii="仿宋_GB2312" w:hAnsi="仿宋_GB2312" w:eastAsia="仿宋_GB2312" w:cs="仿宋_GB2312"/>
          <w:b w:val="0"/>
          <w:kern w:val="2"/>
          <w:sz w:val="28"/>
          <w:szCs w:val="28"/>
          <w:lang w:val="en-US" w:eastAsia="zh-CN" w:bidi="ar-SA"/>
        </w:rPr>
        <w:t>、</w:t>
      </w:r>
      <w:r>
        <w:rPr>
          <w:rFonts w:hint="eastAsia" w:ascii="仿宋_GB2312" w:hAnsi="仿宋_GB2312" w:eastAsia="仿宋_GB2312" w:cs="仿宋_GB2312"/>
          <w:sz w:val="28"/>
          <w:szCs w:val="28"/>
        </w:rPr>
        <w:t>超星学习通和钉钉等平台，</w:t>
      </w:r>
      <w:r>
        <w:rPr>
          <w:rFonts w:hint="eastAsia" w:ascii="仿宋_GB2312" w:hAnsi="仿宋_GB2312" w:eastAsia="仿宋_GB2312" w:cs="仿宋_GB2312"/>
          <w:sz w:val="28"/>
          <w:szCs w:val="28"/>
          <w:lang w:val="en-US" w:eastAsia="zh-CN"/>
        </w:rPr>
        <w:t>打造了</w:t>
      </w:r>
      <w:r>
        <w:rPr>
          <w:rFonts w:hint="eastAsia" w:ascii="仿宋_GB2312" w:hAnsi="仿宋_GB2312" w:eastAsia="仿宋_GB2312" w:cs="仿宋_GB2312"/>
          <w:sz w:val="28"/>
          <w:szCs w:val="28"/>
          <w:highlight w:val="none"/>
          <w:lang w:val="en-US" w:eastAsia="zh-CN"/>
        </w:rPr>
        <w:t>178</w:t>
      </w:r>
      <w:r>
        <w:rPr>
          <w:rFonts w:hint="eastAsia" w:ascii="仿宋_GB2312" w:hAnsi="仿宋_GB2312" w:eastAsia="仿宋_GB2312" w:cs="仿宋_GB2312"/>
          <w:sz w:val="28"/>
          <w:szCs w:val="28"/>
          <w:lang w:val="en-US" w:eastAsia="zh-CN"/>
        </w:rPr>
        <w:t>门线上线下融合课程，</w:t>
      </w:r>
      <w:r>
        <w:rPr>
          <w:rFonts w:hint="eastAsia" w:ascii="仿宋_GB2312" w:hAnsi="仿宋_GB2312" w:eastAsia="仿宋_GB2312" w:cs="仿宋_GB2312"/>
          <w:sz w:val="28"/>
          <w:szCs w:val="28"/>
        </w:rPr>
        <w:t>实现</w:t>
      </w:r>
      <w:r>
        <w:rPr>
          <w:rFonts w:hint="eastAsia" w:ascii="仿宋_GB2312" w:hAnsi="仿宋_GB2312" w:eastAsia="仿宋_GB2312" w:cs="仿宋_GB2312"/>
          <w:sz w:val="28"/>
          <w:szCs w:val="28"/>
          <w:lang w:eastAsia="zh-CN"/>
        </w:rPr>
        <w:t>了</w:t>
      </w:r>
      <w:r>
        <w:rPr>
          <w:rFonts w:hint="eastAsia" w:ascii="仿宋_GB2312" w:hAnsi="仿宋_GB2312" w:eastAsia="仿宋_GB2312" w:cs="仿宋_GB2312"/>
          <w:sz w:val="28"/>
          <w:szCs w:val="28"/>
        </w:rPr>
        <w:t>“停课不停学”，</w:t>
      </w:r>
      <w:r>
        <w:rPr>
          <w:rFonts w:hint="eastAsia" w:ascii="仿宋_GB2312" w:hAnsi="仿宋_GB2312" w:eastAsia="仿宋_GB2312" w:cs="仿宋_GB2312"/>
          <w:sz w:val="28"/>
          <w:szCs w:val="28"/>
          <w:lang w:val="en-US" w:eastAsia="zh-CN"/>
        </w:rPr>
        <w:t>在线精品课程建设实现了新突破。</w:t>
      </w:r>
      <w:r>
        <w:rPr>
          <w:rFonts w:hint="eastAsia" w:ascii="仿宋_GB2312" w:hAnsi="仿宋_GB2312" w:eastAsia="仿宋_GB2312" w:cs="仿宋_GB2312"/>
          <w:color w:val="auto"/>
          <w:sz w:val="28"/>
          <w:szCs w:val="28"/>
          <w:lang w:val="en-US" w:eastAsia="zh-CN"/>
        </w:rPr>
        <w:t>2022-2023学年，5门课程获批山东省在线精品课程，1门课程获批山东省社区教育优秀课程资源，1门课程获批国家在线精品课程，在线精品课程建设数量位居山东省高职院校前列。</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华文新魏" w:hAnsi="华文新魏" w:eastAsia="华文新魏" w:cs="华文新魏"/>
          <w:b/>
          <w:bCs/>
          <w:color w:val="A20000"/>
          <w:sz w:val="32"/>
          <w:szCs w:val="32"/>
          <w:highlight w:val="none"/>
          <w:lang w:val="en-US" w:eastAsia="zh-CN"/>
        </w:rPr>
      </w:pPr>
      <w:r>
        <w:rPr>
          <w:rFonts w:hint="eastAsia" w:ascii="华文新魏" w:hAnsi="华文新魏" w:eastAsia="华文新魏" w:cs="华文新魏"/>
          <w:b/>
          <w:bCs/>
          <w:color w:val="A20000"/>
          <w:sz w:val="32"/>
          <w:szCs w:val="32"/>
          <w:highlight w:val="none"/>
          <w:lang w:val="en-US" w:eastAsia="zh-CN"/>
        </w:rPr>
        <w:t xml:space="preserve">案例 </w:t>
      </w:r>
      <w:r>
        <w:rPr>
          <w:rFonts w:hint="eastAsia" w:ascii="华文新魏" w:hAnsi="华文新魏" w:eastAsia="华文新魏" w:cs="华文新魏"/>
          <w:b/>
          <w:bCs/>
          <w:color w:val="A20000"/>
          <w:sz w:val="32"/>
          <w:szCs w:val="32"/>
          <w:highlight w:val="none"/>
          <w:lang w:val="en-US" w:eastAsia="zh-CN"/>
        </w:rPr>
        <w:fldChar w:fldCharType="begin"/>
      </w:r>
      <w:r>
        <w:rPr>
          <w:rFonts w:hint="eastAsia" w:ascii="华文新魏" w:hAnsi="华文新魏" w:eastAsia="华文新魏" w:cs="华文新魏"/>
          <w:b/>
          <w:bCs/>
          <w:color w:val="A20000"/>
          <w:sz w:val="32"/>
          <w:szCs w:val="32"/>
          <w:highlight w:val="none"/>
          <w:lang w:val="en-US" w:eastAsia="zh-CN"/>
        </w:rPr>
        <w:instrText xml:space="preserve"> SEQ 案例 \* ARABIC </w:instrText>
      </w:r>
      <w:r>
        <w:rPr>
          <w:rFonts w:hint="eastAsia" w:ascii="华文新魏" w:hAnsi="华文新魏" w:eastAsia="华文新魏" w:cs="华文新魏"/>
          <w:b/>
          <w:bCs/>
          <w:color w:val="A20000"/>
          <w:sz w:val="32"/>
          <w:szCs w:val="32"/>
          <w:highlight w:val="none"/>
          <w:lang w:val="en-US" w:eastAsia="zh-CN"/>
        </w:rPr>
        <w:fldChar w:fldCharType="separate"/>
      </w:r>
      <w:r>
        <w:rPr>
          <w:rFonts w:hint="eastAsia" w:ascii="华文新魏" w:hAnsi="华文新魏" w:eastAsia="华文新魏" w:cs="华文新魏"/>
          <w:b/>
          <w:bCs/>
          <w:color w:val="A20000"/>
          <w:sz w:val="32"/>
          <w:szCs w:val="32"/>
          <w:highlight w:val="none"/>
          <w:lang w:val="en-US" w:eastAsia="zh-CN"/>
        </w:rPr>
        <w:t>9</w:t>
      </w:r>
      <w:r>
        <w:rPr>
          <w:rFonts w:hint="eastAsia" w:ascii="华文新魏" w:hAnsi="华文新魏" w:eastAsia="华文新魏" w:cs="华文新魏"/>
          <w:b/>
          <w:bCs/>
          <w:color w:val="A20000"/>
          <w:sz w:val="32"/>
          <w:szCs w:val="32"/>
          <w:highlight w:val="none"/>
          <w:lang w:val="en-US" w:eastAsia="zh-CN"/>
        </w:rPr>
        <w:fldChar w:fldCharType="end"/>
      </w:r>
      <w:bookmarkStart w:id="30" w:name="_Toc10542"/>
      <w:r>
        <w:rPr>
          <w:rFonts w:hint="eastAsia" w:ascii="华文新魏" w:hAnsi="华文新魏" w:eastAsia="华文新魏" w:cs="华文新魏"/>
          <w:b/>
          <w:bCs/>
          <w:color w:val="A20000"/>
          <w:sz w:val="32"/>
          <w:szCs w:val="32"/>
          <w:highlight w:val="none"/>
          <w:lang w:val="en-US" w:eastAsia="zh-CN"/>
        </w:rPr>
        <w:t>: “2345”多主体协作框架下建设在线精品课程</w:t>
      </w:r>
      <w:bookmarkEnd w:id="30"/>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rPr>
      </w:pPr>
      <w:r>
        <w:rPr>
          <w:rFonts w:hint="eastAsia" w:ascii="楷体" w:hAnsi="楷体" w:eastAsia="楷体" w:cs="楷体"/>
          <w:sz w:val="28"/>
          <w:szCs w:val="28"/>
        </w:rPr>
        <w:t>山东省莱阳卫生学校与企业双方共同规划</w:t>
      </w:r>
      <w:r>
        <w:rPr>
          <w:rFonts w:hint="eastAsia" w:ascii="楷体" w:hAnsi="楷体" w:eastAsia="楷体" w:cs="楷体"/>
          <w:sz w:val="28"/>
          <w:szCs w:val="28"/>
          <w:lang w:eastAsia="zh-CN"/>
        </w:rPr>
        <w:t>，</w:t>
      </w:r>
      <w:r>
        <w:rPr>
          <w:rFonts w:hint="eastAsia" w:ascii="楷体" w:hAnsi="楷体" w:eastAsia="楷体" w:cs="楷体"/>
          <w:sz w:val="28"/>
          <w:szCs w:val="28"/>
        </w:rPr>
        <w:t>由专业主任主导课程建设，校企合作配合，3个建设主体将企业的新技术、新理念融入课程建设</w:t>
      </w:r>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满足</w:t>
      </w:r>
      <w:r>
        <w:rPr>
          <w:rFonts w:hint="eastAsia" w:ascii="楷体" w:hAnsi="楷体" w:eastAsia="楷体" w:cs="楷体"/>
          <w:sz w:val="28"/>
          <w:szCs w:val="28"/>
        </w:rPr>
        <w:t>学生、教师、在岗人员和社会学习者等4个课程使用主体服</w:t>
      </w:r>
      <w:r>
        <w:rPr>
          <w:rFonts w:hint="eastAsia" w:ascii="楷体" w:hAnsi="楷体" w:eastAsia="楷体" w:cs="楷体"/>
          <w:sz w:val="28"/>
          <w:szCs w:val="28"/>
          <w:lang w:eastAsia="zh-CN"/>
        </w:rPr>
        <w:t>，</w:t>
      </w:r>
      <w:r>
        <w:rPr>
          <w:rFonts w:hint="eastAsia" w:ascii="楷体" w:hAnsi="楷体" w:eastAsia="楷体" w:cs="楷体"/>
          <w:sz w:val="28"/>
          <w:szCs w:val="28"/>
        </w:rPr>
        <w:t>学生、教师、学校、用人单位和运营企业5个评价主体，对课程的使用体验等进行主要评价，提出改进的意见和建议</w:t>
      </w:r>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课程建设成果丰硕</w:t>
      </w:r>
      <w:r>
        <w:rPr>
          <w:rFonts w:hint="eastAsia" w:ascii="楷体" w:hAnsi="楷体" w:eastAsia="楷体" w:cs="楷体"/>
          <w:sz w:val="28"/>
          <w:szCs w:val="28"/>
        </w:rPr>
        <w:t>。《口腔修复工艺技术》《儿科护理》《急救护理技术》《护理学基础》《社区护理》5门课程获批山东省在线精品课程，</w:t>
      </w:r>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意外伤害的紧急救护》获批</w:t>
      </w:r>
      <w:r>
        <w:rPr>
          <w:rFonts w:hint="eastAsia" w:ascii="楷体" w:hAnsi="楷体" w:eastAsia="楷体" w:cs="楷体"/>
          <w:sz w:val="28"/>
          <w:szCs w:val="28"/>
        </w:rPr>
        <w:t>山东省社区教育优秀课程资源，《口腔修复工艺技术专业》获批国家在线精品课程。</w:t>
      </w:r>
    </w:p>
    <w:p>
      <w:pPr>
        <w:pStyle w:val="3"/>
        <w:keepNext/>
        <w:keepLines/>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color w:val="A20000"/>
          <w:sz w:val="30"/>
          <w:szCs w:val="30"/>
        </w:rPr>
      </w:pPr>
      <w:bookmarkStart w:id="31" w:name="_Toc7902"/>
      <w:r>
        <w:rPr>
          <w:rFonts w:hint="eastAsia" w:ascii="黑体" w:hAnsi="黑体" w:eastAsia="黑体" w:cs="黑体"/>
          <w:color w:val="A20000"/>
          <w:sz w:val="30"/>
          <w:szCs w:val="30"/>
        </w:rPr>
        <w:t>1.</w:t>
      </w:r>
      <w:r>
        <w:rPr>
          <w:rFonts w:hint="eastAsia" w:cs="黑体"/>
          <w:color w:val="A20000"/>
          <w:sz w:val="30"/>
          <w:szCs w:val="30"/>
          <w:lang w:val="en-US" w:eastAsia="zh-CN"/>
        </w:rPr>
        <w:t>4</w:t>
      </w:r>
      <w:r>
        <w:rPr>
          <w:rFonts w:hint="eastAsia" w:ascii="黑体" w:hAnsi="黑体" w:eastAsia="黑体" w:cs="黑体"/>
          <w:color w:val="A20000"/>
          <w:sz w:val="30"/>
          <w:szCs w:val="30"/>
        </w:rPr>
        <w:t>技能大赛</w:t>
      </w:r>
      <w:bookmarkEnd w:id="31"/>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仿宋_GB2312" w:cs="宋体"/>
          <w:b/>
          <w:bCs/>
          <w:color w:val="000000"/>
          <w:kern w:val="0"/>
          <w:sz w:val="24"/>
          <w:lang w:eastAsia="zh-CN" w:bidi="ar"/>
        </w:rPr>
      </w:pPr>
      <w:r>
        <w:rPr>
          <w:rFonts w:hint="eastAsia" w:ascii="仿宋_GB2312" w:hAnsi="仿宋_GB2312" w:eastAsia="仿宋_GB2312" w:cs="仿宋_GB2312"/>
          <w:b/>
          <w:bCs/>
          <w:color w:val="A20000"/>
          <w:sz w:val="28"/>
          <w:szCs w:val="28"/>
        </w:rPr>
        <w:t>大赛促进教师能力不断提升。</w:t>
      </w:r>
      <w:r>
        <w:rPr>
          <w:rFonts w:hint="eastAsia" w:ascii="仿宋_GB2312" w:hAnsi="仿宋_GB2312" w:eastAsia="仿宋_GB2312" w:cs="仿宋_GB2312"/>
          <w:sz w:val="28"/>
          <w:szCs w:val="28"/>
          <w:lang w:val="en-US" w:eastAsia="zh-CN"/>
        </w:rPr>
        <w:t>教师能力提升是提升人才培养质量的关键。</w:t>
      </w:r>
      <w:r>
        <w:rPr>
          <w:rFonts w:hint="eastAsia" w:ascii="仿宋_GB2312" w:hAnsi="仿宋_GB2312" w:eastAsia="仿宋_GB2312" w:cs="仿宋_GB2312"/>
          <w:sz w:val="28"/>
          <w:szCs w:val="28"/>
        </w:rPr>
        <w:t>通过组织校内</w:t>
      </w:r>
      <w:r>
        <w:rPr>
          <w:rFonts w:hint="eastAsia" w:ascii="仿宋_GB2312" w:hAnsi="仿宋_GB2312" w:eastAsia="仿宋_GB2312" w:cs="仿宋_GB2312"/>
          <w:sz w:val="28"/>
          <w:szCs w:val="28"/>
          <w:lang w:val="en-US" w:eastAsia="zh-CN"/>
        </w:rPr>
        <w:t>教学大比武、</w:t>
      </w:r>
      <w:r>
        <w:rPr>
          <w:rFonts w:hint="eastAsia" w:ascii="仿宋_GB2312" w:hAnsi="仿宋_GB2312" w:eastAsia="仿宋_GB2312" w:cs="仿宋_GB2312"/>
          <w:sz w:val="28"/>
          <w:szCs w:val="28"/>
        </w:rPr>
        <w:t>新教师说课、公开汇报课、优质课评选等活动，</w:t>
      </w:r>
      <w:r>
        <w:rPr>
          <w:rFonts w:hint="eastAsia" w:ascii="仿宋_GB2312" w:hAnsi="仿宋_GB2312" w:eastAsia="仿宋_GB2312" w:cs="仿宋_GB2312"/>
          <w:sz w:val="28"/>
          <w:szCs w:val="28"/>
          <w:lang w:val="en-US" w:eastAsia="zh-CN"/>
        </w:rPr>
        <w:t>推荐参加校外各级各类教学大赛，</w:t>
      </w:r>
      <w:r>
        <w:rPr>
          <w:rFonts w:hint="eastAsia" w:ascii="仿宋_GB2312" w:hAnsi="仿宋_GB2312" w:eastAsia="仿宋_GB2312" w:cs="仿宋_GB2312"/>
          <w:sz w:val="28"/>
          <w:szCs w:val="28"/>
        </w:rPr>
        <w:t>形成了以赛促教、以赛促改的浓厚氛围，促进教师素养不断提升。班主任能力比赛获奖3项，其中省级二等奖1项。教学能力大赛获奖23项，其中荣获省级一等奖3项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bidi="ar"/>
        </w:rPr>
        <w:t>实现了教学能力</w:t>
      </w:r>
      <w:r>
        <w:rPr>
          <w:rFonts w:hint="eastAsia" w:ascii="仿宋_GB2312" w:hAnsi="仿宋_GB2312" w:eastAsia="仿宋_GB2312" w:cs="仿宋_GB2312"/>
          <w:sz w:val="28"/>
          <w:szCs w:val="28"/>
          <w:lang w:val="en-US" w:eastAsia="zh-CN" w:bidi="ar"/>
        </w:rPr>
        <w:t>大赛</w:t>
      </w:r>
      <w:r>
        <w:rPr>
          <w:rFonts w:hint="eastAsia" w:ascii="仿宋_GB2312" w:hAnsi="仿宋_GB2312" w:eastAsia="仿宋_GB2312" w:cs="仿宋_GB2312"/>
          <w:sz w:val="28"/>
          <w:szCs w:val="28"/>
          <w:lang w:bidi="ar"/>
        </w:rPr>
        <w:t>省赛一等奖零的突破</w:t>
      </w:r>
      <w:r>
        <w:rPr>
          <w:rFonts w:hint="eastAsia" w:ascii="仿宋_GB2312" w:hAnsi="仿宋_GB2312" w:eastAsia="仿宋_GB2312" w:cs="仿宋_GB2312"/>
          <w:sz w:val="28"/>
          <w:szCs w:val="28"/>
          <w:lang w:eastAsia="zh-CN" w:bidi="ar"/>
        </w:rPr>
        <w:t>（</w:t>
      </w:r>
      <w:r>
        <w:rPr>
          <w:rFonts w:hint="eastAsia" w:ascii="仿宋_GB2312" w:hAnsi="仿宋_GB2312" w:eastAsia="仿宋_GB2312" w:cs="仿宋_GB2312"/>
          <w:sz w:val="28"/>
          <w:szCs w:val="28"/>
          <w:lang w:val="en-US" w:eastAsia="zh-CN" w:bidi="ar"/>
        </w:rPr>
        <w:t>见图7</w:t>
      </w:r>
      <w:r>
        <w:rPr>
          <w:rFonts w:hint="eastAsia" w:ascii="仿宋_GB2312" w:hAnsi="仿宋_GB2312" w:eastAsia="仿宋_GB2312" w:cs="仿宋_GB2312"/>
          <w:sz w:val="28"/>
          <w:szCs w:val="28"/>
          <w:lang w:eastAsia="zh-CN" w:bidi="ar"/>
        </w:rPr>
        <w:t>）</w:t>
      </w:r>
      <w:r>
        <w:rPr>
          <w:rFonts w:hint="eastAsia" w:ascii="仿宋_GB2312" w:hAnsi="仿宋_GB2312" w:eastAsia="仿宋_GB2312" w:cs="仿宋_GB2312"/>
          <w:sz w:val="28"/>
          <w:szCs w:val="28"/>
          <w:lang w:bidi="ar"/>
        </w:rPr>
        <w:t>。</w:t>
      </w:r>
      <w:r>
        <w:rPr>
          <w:rFonts w:hint="eastAsia" w:ascii="仿宋_GB2312" w:hAnsi="仿宋_GB2312" w:eastAsia="仿宋_GB2312" w:cs="仿宋_GB2312"/>
          <w:sz w:val="28"/>
          <w:szCs w:val="28"/>
        </w:rPr>
        <w:t>参加山东省“技能兴鲁”职业技能大赛获奖7项，其中特等奖1项、一等奖1项（教师省级以上比赛获奖情况如表</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所示）。</w:t>
      </w:r>
    </w:p>
    <w:p>
      <w:pPr>
        <w:widowControl/>
        <w:jc w:val="center"/>
        <w:rPr>
          <w:rFonts w:ascii="宋体" w:hAnsi="宋体" w:eastAsia="宋体" w:cs="宋体"/>
          <w:kern w:val="0"/>
          <w:sz w:val="24"/>
          <w:lang w:bidi="ar"/>
        </w:rPr>
      </w:pPr>
      <w:r>
        <w:rPr>
          <w:rFonts w:ascii="宋体" w:hAnsi="宋体" w:eastAsia="宋体" w:cs="宋体"/>
          <w:kern w:val="0"/>
          <w:sz w:val="24"/>
        </w:rPr>
        <w:drawing>
          <wp:inline distT="0" distB="0" distL="114300" distR="114300">
            <wp:extent cx="5579745" cy="4147185"/>
            <wp:effectExtent l="9525" t="9525" r="11430" b="15240"/>
            <wp:docPr id="1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descr="IMG_256"/>
                    <pic:cNvPicPr>
                      <a:picLocks noChangeAspect="1"/>
                    </pic:cNvPicPr>
                  </pic:nvPicPr>
                  <pic:blipFill>
                    <a:blip r:embed="rId15"/>
                    <a:stretch>
                      <a:fillRect/>
                    </a:stretch>
                  </pic:blipFill>
                  <pic:spPr>
                    <a:xfrm>
                      <a:off x="0" y="0"/>
                      <a:ext cx="5579745" cy="4147185"/>
                    </a:xfrm>
                    <a:prstGeom prst="rect">
                      <a:avLst/>
                    </a:prstGeom>
                    <a:noFill/>
                    <a:ln w="6350">
                      <a:solidFill>
                        <a:schemeClr val="tx1"/>
                      </a:solidFill>
                    </a:ln>
                  </pic:spPr>
                </pic:pic>
              </a:graphicData>
            </a:graphic>
          </wp:inline>
        </w:drawing>
      </w:r>
    </w:p>
    <w:p>
      <w:pPr>
        <w:pStyle w:val="6"/>
        <w:jc w:val="center"/>
        <w:rPr>
          <w:sz w:val="28"/>
          <w:szCs w:val="28"/>
        </w:rPr>
      </w:pPr>
      <w:bookmarkStart w:id="32" w:name="_Toc118"/>
      <w:r>
        <w:rPr>
          <w:rFonts w:hint="eastAsia" w:ascii="黑体" w:hAnsi="黑体" w:eastAsia="黑体" w:cs="黑体"/>
          <w:color w:val="9D0300"/>
          <w:sz w:val="28"/>
          <w:szCs w:val="28"/>
          <w:highlight w:val="none"/>
          <w:lang w:val="en-US" w:eastAsia="zh-CN"/>
        </w:rPr>
        <w:t xml:space="preserve">图 </w:t>
      </w:r>
      <w:r>
        <w:rPr>
          <w:rFonts w:hint="eastAsia" w:ascii="黑体" w:hAnsi="黑体" w:eastAsia="黑体" w:cs="黑体"/>
          <w:color w:val="9D0300"/>
          <w:sz w:val="28"/>
          <w:szCs w:val="28"/>
          <w:highlight w:val="none"/>
          <w:lang w:val="en-US" w:eastAsia="zh-CN"/>
        </w:rPr>
        <w:fldChar w:fldCharType="begin"/>
      </w:r>
      <w:r>
        <w:rPr>
          <w:rFonts w:hint="eastAsia" w:ascii="黑体" w:hAnsi="黑体" w:eastAsia="黑体" w:cs="黑体"/>
          <w:color w:val="9D0300"/>
          <w:sz w:val="28"/>
          <w:szCs w:val="28"/>
          <w:highlight w:val="none"/>
          <w:lang w:val="en-US" w:eastAsia="zh-CN"/>
        </w:rPr>
        <w:instrText xml:space="preserve"> SEQ 图 \* ARABIC </w:instrText>
      </w:r>
      <w:r>
        <w:rPr>
          <w:rFonts w:hint="eastAsia" w:ascii="黑体" w:hAnsi="黑体" w:eastAsia="黑体" w:cs="黑体"/>
          <w:color w:val="9D0300"/>
          <w:sz w:val="28"/>
          <w:szCs w:val="28"/>
          <w:highlight w:val="none"/>
          <w:lang w:val="en-US" w:eastAsia="zh-CN"/>
        </w:rPr>
        <w:fldChar w:fldCharType="separate"/>
      </w:r>
      <w:r>
        <w:rPr>
          <w:rFonts w:hint="eastAsia" w:ascii="黑体" w:hAnsi="黑体" w:eastAsia="黑体" w:cs="黑体"/>
          <w:color w:val="9D0300"/>
          <w:sz w:val="28"/>
          <w:szCs w:val="28"/>
          <w:highlight w:val="none"/>
          <w:lang w:val="en-US" w:eastAsia="zh-CN"/>
        </w:rPr>
        <w:t>7</w:t>
      </w:r>
      <w:r>
        <w:rPr>
          <w:rFonts w:hint="eastAsia" w:ascii="黑体" w:hAnsi="黑体" w:eastAsia="黑体" w:cs="黑体"/>
          <w:color w:val="9D0300"/>
          <w:sz w:val="28"/>
          <w:szCs w:val="28"/>
          <w:highlight w:val="none"/>
          <w:lang w:val="en-US" w:eastAsia="zh-CN"/>
        </w:rPr>
        <w:fldChar w:fldCharType="end"/>
      </w:r>
      <w:bookmarkStart w:id="33" w:name="_Toc532"/>
      <w:r>
        <w:rPr>
          <w:rFonts w:hint="eastAsia" w:ascii="黑体" w:hAnsi="黑体" w:eastAsia="黑体" w:cs="黑体"/>
          <w:color w:val="9D0300"/>
          <w:sz w:val="28"/>
          <w:szCs w:val="28"/>
          <w:highlight w:val="none"/>
          <w:lang w:val="en-US" w:eastAsia="zh-CN"/>
        </w:rPr>
        <w:t xml:space="preserve"> 2022-2023年度教学能力比赛获奖情况与上一年度对比</w:t>
      </w:r>
      <w:bookmarkEnd w:id="32"/>
      <w:bookmarkEnd w:id="33"/>
    </w:p>
    <w:p>
      <w:pPr>
        <w:pStyle w:val="6"/>
        <w:jc w:val="left"/>
        <w:rPr>
          <w:rFonts w:hint="eastAsia"/>
          <w:sz w:val="28"/>
          <w:szCs w:val="28"/>
          <w:lang w:val="en-US" w:eastAsia="zh-CN"/>
        </w:rPr>
      </w:pPr>
      <w:bookmarkStart w:id="34" w:name="_Toc21627"/>
      <w:r>
        <w:rPr>
          <w:rFonts w:hint="eastAsia" w:ascii="黑体" w:hAnsi="黑体" w:eastAsia="黑体" w:cs="黑体"/>
          <w:color w:val="9D0300"/>
          <w:sz w:val="28"/>
          <w:szCs w:val="28"/>
          <w:lang w:val="en-US" w:eastAsia="zh-CN"/>
        </w:rPr>
        <w:t xml:space="preserve">表 </w:t>
      </w:r>
      <w:r>
        <w:rPr>
          <w:rFonts w:hint="eastAsia" w:ascii="黑体" w:hAnsi="黑体" w:eastAsia="黑体" w:cs="黑体"/>
          <w:color w:val="9D0300"/>
          <w:sz w:val="28"/>
          <w:szCs w:val="28"/>
          <w:lang w:val="en-US" w:eastAsia="zh-CN"/>
        </w:rPr>
        <w:fldChar w:fldCharType="begin"/>
      </w:r>
      <w:r>
        <w:rPr>
          <w:rFonts w:hint="eastAsia" w:ascii="黑体" w:hAnsi="黑体" w:eastAsia="黑体" w:cs="黑体"/>
          <w:color w:val="9D0300"/>
          <w:sz w:val="28"/>
          <w:szCs w:val="28"/>
          <w:lang w:val="en-US" w:eastAsia="zh-CN"/>
        </w:rPr>
        <w:instrText xml:space="preserve"> SEQ 表 \* ARABIC </w:instrText>
      </w:r>
      <w:r>
        <w:rPr>
          <w:rFonts w:hint="eastAsia" w:ascii="黑体" w:hAnsi="黑体" w:eastAsia="黑体" w:cs="黑体"/>
          <w:color w:val="9D0300"/>
          <w:sz w:val="28"/>
          <w:szCs w:val="28"/>
          <w:lang w:val="en-US" w:eastAsia="zh-CN"/>
        </w:rPr>
        <w:fldChar w:fldCharType="separate"/>
      </w:r>
      <w:r>
        <w:rPr>
          <w:rFonts w:hint="eastAsia" w:ascii="黑体" w:hAnsi="黑体" w:eastAsia="黑体" w:cs="黑体"/>
          <w:color w:val="9D0300"/>
          <w:sz w:val="28"/>
          <w:szCs w:val="28"/>
          <w:lang w:val="en-US" w:eastAsia="zh-CN"/>
        </w:rPr>
        <w:t>3</w:t>
      </w:r>
      <w:r>
        <w:rPr>
          <w:rFonts w:hint="eastAsia" w:ascii="黑体" w:hAnsi="黑体" w:eastAsia="黑体" w:cs="黑体"/>
          <w:color w:val="9D0300"/>
          <w:sz w:val="28"/>
          <w:szCs w:val="28"/>
          <w:lang w:val="en-US" w:eastAsia="zh-CN"/>
        </w:rPr>
        <w:fldChar w:fldCharType="end"/>
      </w:r>
      <w:bookmarkStart w:id="35" w:name="_Toc26598"/>
      <w:bookmarkStart w:id="36" w:name="_Toc17314"/>
      <w:r>
        <w:rPr>
          <w:rFonts w:hint="eastAsia" w:ascii="黑体" w:hAnsi="黑体" w:cs="黑体"/>
          <w:color w:val="9D0300"/>
          <w:sz w:val="28"/>
          <w:szCs w:val="28"/>
          <w:lang w:val="en-US" w:eastAsia="zh-CN"/>
        </w:rPr>
        <w:t xml:space="preserve"> </w:t>
      </w:r>
      <w:r>
        <w:rPr>
          <w:rFonts w:hint="eastAsia" w:ascii="黑体" w:hAnsi="黑体" w:eastAsia="黑体" w:cs="黑体"/>
          <w:color w:val="9D0300"/>
          <w:sz w:val="28"/>
          <w:szCs w:val="28"/>
          <w:lang w:val="en-US" w:eastAsia="zh-CN"/>
        </w:rPr>
        <w:t>学校2022-2023学年教师省级以上比赛获奖情况一览表</w:t>
      </w:r>
      <w:bookmarkEnd w:id="35"/>
      <w:bookmarkEnd w:id="36"/>
    </w:p>
    <w:bookmarkEnd w:id="34"/>
    <w:tbl>
      <w:tblPr>
        <w:tblStyle w:val="18"/>
        <w:tblW w:w="8787" w:type="dxa"/>
        <w:jc w:val="center"/>
        <w:tblLayout w:type="fixed"/>
        <w:tblCellMar>
          <w:top w:w="0" w:type="dxa"/>
          <w:left w:w="108" w:type="dxa"/>
          <w:bottom w:w="0" w:type="dxa"/>
          <w:right w:w="108" w:type="dxa"/>
        </w:tblCellMar>
      </w:tblPr>
      <w:tblGrid>
        <w:gridCol w:w="1062"/>
        <w:gridCol w:w="2440"/>
        <w:gridCol w:w="1170"/>
        <w:gridCol w:w="2074"/>
        <w:gridCol w:w="2041"/>
      </w:tblGrid>
      <w:tr>
        <w:tblPrEx>
          <w:tblCellMar>
            <w:top w:w="0" w:type="dxa"/>
            <w:left w:w="108" w:type="dxa"/>
            <w:bottom w:w="0" w:type="dxa"/>
            <w:right w:w="108" w:type="dxa"/>
          </w:tblCellMar>
        </w:tblPrEx>
        <w:trPr>
          <w:trHeight w:val="712" w:hRule="atLeast"/>
          <w:jc w:val="center"/>
        </w:trPr>
        <w:tc>
          <w:tcPr>
            <w:tcW w:w="1018" w:type="dxa"/>
            <w:tcBorders>
              <w:top w:val="single" w:color="000000" w:sz="4" w:space="0"/>
              <w:left w:val="single" w:color="000000" w:sz="4" w:space="0"/>
              <w:bottom w:val="single" w:color="000000" w:sz="4" w:space="0"/>
              <w:right w:val="single" w:color="000000" w:sz="4" w:space="0"/>
            </w:tcBorders>
            <w:vAlign w:val="center"/>
          </w:tcPr>
          <w:p>
            <w:pPr>
              <w:bidi w:val="0"/>
              <w:jc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时间</w:t>
            </w:r>
          </w:p>
        </w:tc>
        <w:tc>
          <w:tcPr>
            <w:tcW w:w="23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参赛项目</w:t>
            </w:r>
          </w:p>
        </w:tc>
        <w:tc>
          <w:tcPr>
            <w:tcW w:w="112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获奖情况</w:t>
            </w: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0"/>
                <w:sz w:val="21"/>
                <w:szCs w:val="21"/>
                <w:lang w:bidi="ar"/>
              </w:rPr>
              <w:t>获奖人员</w:t>
            </w:r>
          </w:p>
        </w:tc>
        <w:tc>
          <w:tcPr>
            <w:tcW w:w="19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主办单位</w:t>
            </w:r>
          </w:p>
        </w:tc>
      </w:tr>
      <w:tr>
        <w:tblPrEx>
          <w:tblCellMar>
            <w:top w:w="0" w:type="dxa"/>
            <w:left w:w="108" w:type="dxa"/>
            <w:bottom w:w="0" w:type="dxa"/>
            <w:right w:w="108" w:type="dxa"/>
          </w:tblCellMar>
        </w:tblPrEx>
        <w:trPr>
          <w:trHeight w:val="397" w:hRule="atLeast"/>
          <w:jc w:val="center"/>
        </w:trPr>
        <w:tc>
          <w:tcPr>
            <w:tcW w:w="101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2022.10</w:t>
            </w:r>
          </w:p>
        </w:tc>
        <w:tc>
          <w:tcPr>
            <w:tcW w:w="233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2022年山东省职业院校教学能力大赛</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三等奖</w:t>
            </w:r>
          </w:p>
        </w:tc>
        <w:tc>
          <w:tcPr>
            <w:tcW w:w="198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 xml:space="preserve">邢世波 王凤姣 </w:t>
            </w:r>
          </w:p>
          <w:p>
            <w:pPr>
              <w:widowControl/>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李启立 李月会</w:t>
            </w:r>
          </w:p>
        </w:tc>
        <w:tc>
          <w:tcPr>
            <w:tcW w:w="195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山东省教育厅</w:t>
            </w:r>
          </w:p>
        </w:tc>
      </w:tr>
      <w:tr>
        <w:tblPrEx>
          <w:tblCellMar>
            <w:top w:w="0" w:type="dxa"/>
            <w:left w:w="108" w:type="dxa"/>
            <w:bottom w:w="0" w:type="dxa"/>
            <w:right w:w="108" w:type="dxa"/>
          </w:tblCellMar>
        </w:tblPrEx>
        <w:trPr>
          <w:trHeight w:val="397" w:hRule="atLeast"/>
          <w:jc w:val="center"/>
        </w:trPr>
        <w:tc>
          <w:tcPr>
            <w:tcW w:w="1018"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2022.12</w:t>
            </w:r>
          </w:p>
        </w:tc>
        <w:tc>
          <w:tcPr>
            <w:tcW w:w="233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山东省“技能兴鲁”职业技能大赛—第二届牙科技术技能大赛竞赛全口义齿排牙技术</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特等奖</w:t>
            </w:r>
          </w:p>
        </w:tc>
        <w:tc>
          <w:tcPr>
            <w:tcW w:w="198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李金鑫</w:t>
            </w:r>
          </w:p>
        </w:tc>
        <w:tc>
          <w:tcPr>
            <w:tcW w:w="1956"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山东省民营牙科协会</w:t>
            </w:r>
          </w:p>
        </w:tc>
      </w:tr>
      <w:tr>
        <w:tblPrEx>
          <w:tblCellMar>
            <w:top w:w="0" w:type="dxa"/>
            <w:left w:w="108" w:type="dxa"/>
            <w:bottom w:w="0" w:type="dxa"/>
            <w:right w:w="108" w:type="dxa"/>
          </w:tblCellMar>
        </w:tblPrEx>
        <w:trPr>
          <w:trHeight w:val="397" w:hRule="atLeast"/>
          <w:jc w:val="center"/>
        </w:trPr>
        <w:tc>
          <w:tcPr>
            <w:tcW w:w="101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1"/>
                <w:szCs w:val="21"/>
              </w:rPr>
            </w:pPr>
          </w:p>
        </w:tc>
        <w:tc>
          <w:tcPr>
            <w:tcW w:w="233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1"/>
                <w:szCs w:val="21"/>
              </w:rPr>
            </w:pPr>
          </w:p>
        </w:tc>
        <w:tc>
          <w:tcPr>
            <w:tcW w:w="11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二等奖</w:t>
            </w:r>
          </w:p>
        </w:tc>
        <w:tc>
          <w:tcPr>
            <w:tcW w:w="198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闫  静</w:t>
            </w:r>
          </w:p>
        </w:tc>
        <w:tc>
          <w:tcPr>
            <w:tcW w:w="1956"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1"/>
                <w:szCs w:val="21"/>
              </w:rPr>
            </w:pPr>
          </w:p>
        </w:tc>
      </w:tr>
      <w:tr>
        <w:tblPrEx>
          <w:tblCellMar>
            <w:top w:w="0" w:type="dxa"/>
            <w:left w:w="108" w:type="dxa"/>
            <w:bottom w:w="0" w:type="dxa"/>
            <w:right w:w="108" w:type="dxa"/>
          </w:tblCellMar>
        </w:tblPrEx>
        <w:trPr>
          <w:trHeight w:val="397" w:hRule="atLeast"/>
          <w:jc w:val="center"/>
        </w:trPr>
        <w:tc>
          <w:tcPr>
            <w:tcW w:w="101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1"/>
                <w:szCs w:val="21"/>
              </w:rPr>
            </w:pPr>
          </w:p>
        </w:tc>
        <w:tc>
          <w:tcPr>
            <w:tcW w:w="233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1"/>
                <w:szCs w:val="21"/>
              </w:rPr>
            </w:pPr>
          </w:p>
        </w:tc>
        <w:tc>
          <w:tcPr>
            <w:tcW w:w="11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二等奖</w:t>
            </w:r>
          </w:p>
        </w:tc>
        <w:tc>
          <w:tcPr>
            <w:tcW w:w="198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王  欢</w:t>
            </w:r>
          </w:p>
        </w:tc>
        <w:tc>
          <w:tcPr>
            <w:tcW w:w="1956"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1"/>
                <w:szCs w:val="21"/>
              </w:rPr>
            </w:pPr>
          </w:p>
        </w:tc>
      </w:tr>
      <w:tr>
        <w:tblPrEx>
          <w:tblCellMar>
            <w:top w:w="0" w:type="dxa"/>
            <w:left w:w="108" w:type="dxa"/>
            <w:bottom w:w="0" w:type="dxa"/>
            <w:right w:w="108" w:type="dxa"/>
          </w:tblCellMar>
        </w:tblPrEx>
        <w:trPr>
          <w:trHeight w:val="397" w:hRule="atLeast"/>
          <w:jc w:val="center"/>
        </w:trPr>
        <w:tc>
          <w:tcPr>
            <w:tcW w:w="101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1"/>
                <w:szCs w:val="21"/>
              </w:rPr>
            </w:pPr>
          </w:p>
        </w:tc>
        <w:tc>
          <w:tcPr>
            <w:tcW w:w="233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1"/>
                <w:szCs w:val="21"/>
              </w:rPr>
            </w:pPr>
          </w:p>
        </w:tc>
        <w:tc>
          <w:tcPr>
            <w:tcW w:w="11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三等奖</w:t>
            </w:r>
          </w:p>
        </w:tc>
        <w:tc>
          <w:tcPr>
            <w:tcW w:w="198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王一凡</w:t>
            </w:r>
          </w:p>
        </w:tc>
        <w:tc>
          <w:tcPr>
            <w:tcW w:w="1956"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1"/>
                <w:szCs w:val="21"/>
              </w:rPr>
            </w:pPr>
          </w:p>
        </w:tc>
      </w:tr>
      <w:tr>
        <w:tblPrEx>
          <w:tblCellMar>
            <w:top w:w="0" w:type="dxa"/>
            <w:left w:w="108" w:type="dxa"/>
            <w:bottom w:w="0" w:type="dxa"/>
            <w:right w:w="108" w:type="dxa"/>
          </w:tblCellMar>
        </w:tblPrEx>
        <w:trPr>
          <w:trHeight w:val="397" w:hRule="atLeast"/>
          <w:jc w:val="center"/>
        </w:trPr>
        <w:tc>
          <w:tcPr>
            <w:tcW w:w="1018"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2022.12</w:t>
            </w:r>
          </w:p>
        </w:tc>
        <w:tc>
          <w:tcPr>
            <w:tcW w:w="233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山东省“技能兴鲁”职业技能大赛—生殖健康咨询师竞赛</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一等奖</w:t>
            </w:r>
          </w:p>
        </w:tc>
        <w:tc>
          <w:tcPr>
            <w:tcW w:w="198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 xml:space="preserve">高 </w:t>
            </w:r>
            <w:r>
              <w:rPr>
                <w:rStyle w:val="24"/>
                <w:rFonts w:hint="eastAsia" w:ascii="宋体" w:hAnsi="宋体" w:eastAsia="宋体" w:cs="宋体"/>
                <w:sz w:val="21"/>
                <w:szCs w:val="21"/>
                <w:lang w:bidi="ar"/>
              </w:rPr>
              <w:t xml:space="preserve"> 敏</w:t>
            </w:r>
          </w:p>
        </w:tc>
        <w:tc>
          <w:tcPr>
            <w:tcW w:w="1956" w:type="dxa"/>
            <w:vMerge w:val="restar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山东省健康管理协会</w:t>
            </w:r>
          </w:p>
        </w:tc>
      </w:tr>
      <w:tr>
        <w:tblPrEx>
          <w:tblCellMar>
            <w:top w:w="0" w:type="dxa"/>
            <w:left w:w="108" w:type="dxa"/>
            <w:bottom w:w="0" w:type="dxa"/>
            <w:right w:w="108" w:type="dxa"/>
          </w:tblCellMar>
        </w:tblPrEx>
        <w:trPr>
          <w:trHeight w:val="397" w:hRule="atLeast"/>
          <w:jc w:val="center"/>
        </w:trPr>
        <w:tc>
          <w:tcPr>
            <w:tcW w:w="101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1"/>
                <w:szCs w:val="21"/>
              </w:rPr>
            </w:pPr>
          </w:p>
        </w:tc>
        <w:tc>
          <w:tcPr>
            <w:tcW w:w="233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1"/>
                <w:szCs w:val="21"/>
              </w:rPr>
            </w:pPr>
          </w:p>
        </w:tc>
        <w:tc>
          <w:tcPr>
            <w:tcW w:w="11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二等奖</w:t>
            </w:r>
          </w:p>
        </w:tc>
        <w:tc>
          <w:tcPr>
            <w:tcW w:w="198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王雪芹</w:t>
            </w:r>
          </w:p>
        </w:tc>
        <w:tc>
          <w:tcPr>
            <w:tcW w:w="1956"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1"/>
                <w:szCs w:val="21"/>
              </w:rPr>
            </w:pPr>
          </w:p>
        </w:tc>
      </w:tr>
      <w:tr>
        <w:tblPrEx>
          <w:tblCellMar>
            <w:top w:w="0" w:type="dxa"/>
            <w:left w:w="108" w:type="dxa"/>
            <w:bottom w:w="0" w:type="dxa"/>
            <w:right w:w="108" w:type="dxa"/>
          </w:tblCellMar>
        </w:tblPrEx>
        <w:trPr>
          <w:trHeight w:val="397" w:hRule="atLeast"/>
          <w:jc w:val="center"/>
        </w:trPr>
        <w:tc>
          <w:tcPr>
            <w:tcW w:w="1018"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1"/>
                <w:szCs w:val="21"/>
              </w:rPr>
            </w:pPr>
          </w:p>
        </w:tc>
        <w:tc>
          <w:tcPr>
            <w:tcW w:w="233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eastAsia="宋体" w:cs="宋体"/>
                <w:color w:val="000000"/>
                <w:sz w:val="21"/>
                <w:szCs w:val="21"/>
              </w:rPr>
            </w:pPr>
          </w:p>
        </w:tc>
        <w:tc>
          <w:tcPr>
            <w:tcW w:w="11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优胜奖</w:t>
            </w:r>
          </w:p>
        </w:tc>
        <w:tc>
          <w:tcPr>
            <w:tcW w:w="198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姜  勇</w:t>
            </w:r>
          </w:p>
        </w:tc>
        <w:tc>
          <w:tcPr>
            <w:tcW w:w="1956" w:type="dxa"/>
            <w:vMerge w:val="continue"/>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color w:val="000000"/>
                <w:sz w:val="21"/>
                <w:szCs w:val="21"/>
              </w:rPr>
            </w:pPr>
          </w:p>
        </w:tc>
      </w:tr>
      <w:tr>
        <w:tblPrEx>
          <w:tblCellMar>
            <w:top w:w="0" w:type="dxa"/>
            <w:left w:w="108" w:type="dxa"/>
            <w:bottom w:w="0" w:type="dxa"/>
            <w:right w:w="108" w:type="dxa"/>
          </w:tblCellMar>
        </w:tblPrEx>
        <w:trPr>
          <w:trHeight w:val="397" w:hRule="atLeast"/>
          <w:jc w:val="center"/>
        </w:trPr>
        <w:tc>
          <w:tcPr>
            <w:tcW w:w="101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2023.08</w:t>
            </w:r>
          </w:p>
        </w:tc>
        <w:tc>
          <w:tcPr>
            <w:tcW w:w="233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2023年山东省职业院校教学能力大赛</w:t>
            </w:r>
          </w:p>
        </w:tc>
        <w:tc>
          <w:tcPr>
            <w:tcW w:w="11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一等奖</w:t>
            </w: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 xml:space="preserve">邢世波 李启立 </w:t>
            </w:r>
          </w:p>
          <w:p>
            <w:pPr>
              <w:widowControl/>
              <w:jc w:val="center"/>
              <w:textAlignment w:val="bottom"/>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kern w:val="0"/>
                <w:sz w:val="21"/>
                <w:szCs w:val="21"/>
                <w:lang w:bidi="ar"/>
              </w:rPr>
              <w:t>周  燕 田仁军</w:t>
            </w:r>
          </w:p>
        </w:tc>
        <w:tc>
          <w:tcPr>
            <w:tcW w:w="1956"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山东省教育厅</w:t>
            </w:r>
          </w:p>
        </w:tc>
      </w:tr>
      <w:tr>
        <w:tblPrEx>
          <w:tblCellMar>
            <w:top w:w="0" w:type="dxa"/>
            <w:left w:w="108" w:type="dxa"/>
            <w:bottom w:w="0" w:type="dxa"/>
            <w:right w:w="108" w:type="dxa"/>
          </w:tblCellMar>
        </w:tblPrEx>
        <w:trPr>
          <w:trHeight w:val="397" w:hRule="atLeast"/>
          <w:jc w:val="center"/>
        </w:trPr>
        <w:tc>
          <w:tcPr>
            <w:tcW w:w="101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Cs w:val="21"/>
              </w:rPr>
            </w:pPr>
          </w:p>
        </w:tc>
        <w:tc>
          <w:tcPr>
            <w:tcW w:w="233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Cs w:val="21"/>
              </w:rPr>
            </w:pPr>
          </w:p>
        </w:tc>
        <w:tc>
          <w:tcPr>
            <w:tcW w:w="11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bottom"/>
              <w:rPr>
                <w:rFonts w:ascii="宋体" w:hAnsi="宋体" w:eastAsia="宋体" w:cs="宋体"/>
                <w:color w:val="000000"/>
                <w:szCs w:val="21"/>
              </w:rPr>
            </w:pPr>
            <w:r>
              <w:rPr>
                <w:rFonts w:hint="eastAsia" w:ascii="宋体" w:hAnsi="宋体" w:eastAsia="宋体" w:cs="宋体"/>
                <w:color w:val="000000"/>
                <w:kern w:val="0"/>
                <w:szCs w:val="21"/>
                <w:lang w:bidi="ar"/>
              </w:rPr>
              <w:t>二等奖</w:t>
            </w:r>
          </w:p>
        </w:tc>
        <w:tc>
          <w:tcPr>
            <w:tcW w:w="198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bottom"/>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 xml:space="preserve">徐  荣 宫春梓 </w:t>
            </w:r>
          </w:p>
          <w:p>
            <w:pPr>
              <w:widowControl/>
              <w:jc w:val="center"/>
              <w:textAlignment w:val="bottom"/>
              <w:rPr>
                <w:rFonts w:ascii="宋体" w:hAnsi="宋体" w:eastAsia="宋体" w:cs="宋体"/>
                <w:color w:val="000000"/>
                <w:kern w:val="2"/>
                <w:sz w:val="21"/>
                <w:szCs w:val="21"/>
                <w:lang w:val="en-US" w:eastAsia="zh-CN" w:bidi="ar-SA"/>
              </w:rPr>
            </w:pPr>
            <w:r>
              <w:rPr>
                <w:rFonts w:hint="eastAsia" w:ascii="宋体" w:hAnsi="宋体" w:eastAsia="宋体" w:cs="宋体"/>
                <w:color w:val="000000"/>
                <w:kern w:val="0"/>
                <w:szCs w:val="21"/>
                <w:lang w:bidi="ar"/>
              </w:rPr>
              <w:t>王晓玲 李  颖</w:t>
            </w:r>
          </w:p>
        </w:tc>
        <w:tc>
          <w:tcPr>
            <w:tcW w:w="195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s="宋体"/>
                <w:color w:val="000000"/>
                <w:szCs w:val="21"/>
              </w:rPr>
            </w:pPr>
          </w:p>
        </w:tc>
      </w:tr>
    </w:tbl>
    <w:p>
      <w:pPr>
        <w:rPr>
          <w:rFonts w:hint="eastAsia" w:ascii="宋体" w:hAnsi="宋体" w:eastAsia="宋体" w:cs="宋体"/>
          <w:b/>
          <w:bCs/>
          <w:color w:val="A20000"/>
          <w:sz w:val="32"/>
          <w:szCs w:val="32"/>
          <w:highlight w:val="none"/>
        </w:rPr>
      </w:pPr>
      <w:r>
        <w:rPr>
          <w:rFonts w:hint="eastAsia" w:ascii="宋体" w:hAnsi="宋体" w:eastAsia="宋体" w:cs="宋体"/>
          <w:lang w:val="en-US" w:eastAsia="zh-CN"/>
        </w:rPr>
        <w:t>数据来源：山东省莱阳卫生学校教务处</w:t>
      </w:r>
    </w:p>
    <w:p>
      <w:pPr>
        <w:tabs>
          <w:tab w:val="left" w:pos="958"/>
          <w:tab w:val="left" w:pos="1078"/>
        </w:tabs>
        <w:jc w:val="center"/>
        <w:rPr>
          <w:rFonts w:eastAsia="宋体"/>
          <w:sz w:val="28"/>
          <w:szCs w:val="22"/>
        </w:rPr>
      </w:pPr>
    </w:p>
    <w:p>
      <w:pPr>
        <w:tabs>
          <w:tab w:val="left" w:pos="958"/>
          <w:tab w:val="left" w:pos="1078"/>
        </w:tabs>
        <w:jc w:val="center"/>
        <w:rPr>
          <w:rFonts w:ascii="宋体" w:hAnsi="宋体" w:eastAsia="宋体" w:cs="宋体"/>
          <w:color w:val="000000"/>
          <w:kern w:val="0"/>
          <w:szCs w:val="21"/>
          <w:lang w:bidi="ar"/>
        </w:rPr>
      </w:pPr>
      <w:r>
        <w:rPr>
          <w:rFonts w:eastAsia="宋体"/>
          <w:sz w:val="28"/>
          <w:szCs w:val="22"/>
        </w:rPr>
        <w:drawing>
          <wp:inline distT="0" distB="0" distL="114300" distR="114300">
            <wp:extent cx="5579745" cy="3689350"/>
            <wp:effectExtent l="0" t="0" r="1905" b="6350"/>
            <wp:docPr id="20" name="图片 3" descr="IMG_20230829_111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descr="IMG_20230829_111733"/>
                    <pic:cNvPicPr>
                      <a:picLocks noChangeAspect="1"/>
                    </pic:cNvPicPr>
                  </pic:nvPicPr>
                  <pic:blipFill>
                    <a:blip r:embed="rId16"/>
                    <a:srcRect t="11880"/>
                    <a:stretch>
                      <a:fillRect/>
                    </a:stretch>
                  </pic:blipFill>
                  <pic:spPr>
                    <a:xfrm>
                      <a:off x="0" y="0"/>
                      <a:ext cx="5579745" cy="3689350"/>
                    </a:xfrm>
                    <a:prstGeom prst="rect">
                      <a:avLst/>
                    </a:prstGeom>
                    <a:noFill/>
                    <a:ln>
                      <a:noFill/>
                    </a:ln>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黑体" w:hAnsi="黑体" w:eastAsia="黑体" w:cs="黑体"/>
          <w:color w:val="9D0300"/>
          <w:sz w:val="28"/>
          <w:szCs w:val="28"/>
          <w:highlight w:val="none"/>
          <w:lang w:val="en-US" w:eastAsia="zh-CN"/>
        </w:rPr>
      </w:pPr>
      <w:bookmarkStart w:id="37" w:name="_Toc22078"/>
      <w:r>
        <w:rPr>
          <w:rFonts w:hint="eastAsia" w:ascii="黑体" w:hAnsi="黑体" w:eastAsia="黑体" w:cs="黑体"/>
          <w:color w:val="9D0300"/>
          <w:sz w:val="28"/>
          <w:szCs w:val="28"/>
          <w:highlight w:val="none"/>
          <w:lang w:val="en-US" w:eastAsia="zh-CN"/>
        </w:rPr>
        <w:t>图</w:t>
      </w:r>
      <w:r>
        <w:rPr>
          <w:rFonts w:hint="eastAsia" w:ascii="黑体" w:hAnsi="黑体" w:cs="黑体"/>
          <w:color w:val="9D0300"/>
          <w:sz w:val="28"/>
          <w:szCs w:val="28"/>
          <w:highlight w:val="none"/>
          <w:lang w:val="en-US" w:eastAsia="zh-CN"/>
        </w:rPr>
        <w:t xml:space="preserve"> </w:t>
      </w:r>
      <w:r>
        <w:rPr>
          <w:rFonts w:hint="eastAsia" w:ascii="黑体" w:hAnsi="黑体" w:eastAsia="黑体" w:cs="黑体"/>
          <w:color w:val="9D0300"/>
          <w:sz w:val="28"/>
          <w:szCs w:val="28"/>
          <w:highlight w:val="none"/>
          <w:lang w:val="en-US" w:eastAsia="zh-CN"/>
        </w:rPr>
        <w:fldChar w:fldCharType="begin"/>
      </w:r>
      <w:r>
        <w:rPr>
          <w:rFonts w:hint="eastAsia" w:ascii="黑体" w:hAnsi="黑体" w:eastAsia="黑体" w:cs="黑体"/>
          <w:color w:val="9D0300"/>
          <w:sz w:val="28"/>
          <w:szCs w:val="28"/>
          <w:highlight w:val="none"/>
          <w:lang w:val="en-US" w:eastAsia="zh-CN"/>
        </w:rPr>
        <w:instrText xml:space="preserve"> SEQ 图 \* ARABIC </w:instrText>
      </w:r>
      <w:r>
        <w:rPr>
          <w:rFonts w:hint="eastAsia" w:ascii="黑体" w:hAnsi="黑体" w:eastAsia="黑体" w:cs="黑体"/>
          <w:color w:val="9D0300"/>
          <w:sz w:val="28"/>
          <w:szCs w:val="28"/>
          <w:highlight w:val="none"/>
          <w:lang w:val="en-US" w:eastAsia="zh-CN"/>
        </w:rPr>
        <w:fldChar w:fldCharType="separate"/>
      </w:r>
      <w:r>
        <w:rPr>
          <w:rFonts w:hint="eastAsia" w:ascii="黑体" w:hAnsi="黑体" w:eastAsia="黑体" w:cs="黑体"/>
          <w:color w:val="9D0300"/>
          <w:sz w:val="28"/>
          <w:szCs w:val="28"/>
          <w:highlight w:val="none"/>
          <w:lang w:val="en-US" w:eastAsia="zh-CN"/>
        </w:rPr>
        <w:t>8</w:t>
      </w:r>
      <w:r>
        <w:rPr>
          <w:rFonts w:hint="eastAsia" w:ascii="黑体" w:hAnsi="黑体" w:eastAsia="黑体" w:cs="黑体"/>
          <w:color w:val="9D0300"/>
          <w:sz w:val="28"/>
          <w:szCs w:val="28"/>
          <w:highlight w:val="none"/>
          <w:lang w:val="en-US" w:eastAsia="zh-CN"/>
        </w:rPr>
        <w:fldChar w:fldCharType="end"/>
      </w:r>
      <w:bookmarkStart w:id="38" w:name="_Toc27201"/>
      <w:r>
        <w:rPr>
          <w:rFonts w:hint="eastAsia" w:ascii="黑体" w:hAnsi="黑体" w:eastAsia="黑体" w:cs="黑体"/>
          <w:color w:val="9D0300"/>
          <w:sz w:val="28"/>
          <w:szCs w:val="28"/>
          <w:highlight w:val="none"/>
          <w:lang w:val="en-US" w:eastAsia="zh-CN"/>
        </w:rPr>
        <w:t xml:space="preserve"> 2023年山东省职业院校教学能力大赛一等奖团队</w:t>
      </w:r>
      <w:bookmarkEnd w:id="38"/>
    </w:p>
    <w:bookmarkEnd w:id="37"/>
    <w:p>
      <w:pPr>
        <w:pStyle w:val="17"/>
        <w:ind w:firstLine="0" w:firstLineChars="0"/>
        <w:jc w:val="center"/>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 xml:space="preserve">     </w:t>
      </w:r>
      <w:r>
        <w:rPr>
          <w:rFonts w:hint="eastAsia" w:ascii="黑体" w:hAnsi="黑体" w:eastAsia="黑体" w:cs="黑体"/>
          <w:color w:val="9D0300"/>
          <w:kern w:val="2"/>
          <w:sz w:val="28"/>
          <w:szCs w:val="28"/>
          <w:highlight w:val="none"/>
          <w:lang w:val="en-US" w:eastAsia="zh-CN" w:bidi="ar-SA"/>
        </w:rPr>
        <w:t xml:space="preserve"> （从左至右：田仁军、李启立、邢世波、周燕）</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b/>
          <w:bCs/>
          <w:color w:val="A20000"/>
          <w:sz w:val="28"/>
          <w:szCs w:val="28"/>
        </w:rPr>
        <w:t>大赛促进学生专业技能提升。</w:t>
      </w:r>
      <w:r>
        <w:rPr>
          <w:rFonts w:hint="eastAsia" w:ascii="仿宋_GB2312" w:hAnsi="仿宋_GB2312" w:eastAsia="仿宋_GB2312" w:cs="仿宋_GB2312"/>
          <w:sz w:val="28"/>
          <w:szCs w:val="28"/>
        </w:rPr>
        <w:t>为促进学生技能发展、多样成才，学校强化校内普赛制，各专业学生开展全员技能大练兵活动，分年级开展公共基础、专业基础与专业技能项目能力递进式比赛，通过校赛、市赛、省赛、国赛选拔赛、国赛五阶层层选拔竞赛模式，形成了以赛促学、以赛促练的浓厚氛围。</w:t>
      </w:r>
      <w:r>
        <w:rPr>
          <w:rFonts w:hint="eastAsia" w:ascii="仿宋_GB2312" w:hAnsi="仿宋_GB2312" w:eastAsia="仿宋_GB2312" w:cs="仿宋_GB2312"/>
          <w:sz w:val="28"/>
          <w:szCs w:val="28"/>
          <w:lang w:val="en-US" w:eastAsia="zh-CN"/>
        </w:rPr>
        <w:t>2022-2023学年，</w:t>
      </w:r>
      <w:r>
        <w:rPr>
          <w:rFonts w:hint="eastAsia" w:ascii="仿宋_GB2312" w:hAnsi="仿宋_GB2312" w:eastAsia="仿宋_GB2312" w:cs="仿宋_GB2312"/>
          <w:sz w:val="28"/>
          <w:szCs w:val="28"/>
        </w:rPr>
        <w:t>学生参加市级以上技能竞赛</w:t>
      </w:r>
      <w:r>
        <w:rPr>
          <w:rFonts w:hint="eastAsia" w:ascii="仿宋_GB2312" w:hAnsi="仿宋_GB2312" w:eastAsia="仿宋_GB2312" w:cs="仿宋_GB2312"/>
          <w:sz w:val="28"/>
          <w:szCs w:val="28"/>
          <w:lang w:val="en-US" w:eastAsia="zh-CN"/>
        </w:rPr>
        <w:t>获奖人数和获奖数量再创新高，17人次获国家级职业技能竞赛奖牌</w:t>
      </w:r>
      <w:r>
        <w:rPr>
          <w:rFonts w:hint="eastAsia" w:ascii="仿宋_GB2312" w:hAnsi="仿宋_GB2312" w:eastAsia="仿宋_GB2312" w:cs="仿宋_GB2312"/>
          <w:sz w:val="28"/>
          <w:szCs w:val="28"/>
        </w:rPr>
        <w:t>。护理专业学生在职业院校护理技能大赛中获得国赛团体一等奖1项、省赛一等奖1项；市赛一等奖1项。检验专业在第九届全国职业院校检验技能竞赛中获得一等奖5项、二等奖4项（详见表</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w:t>
      </w:r>
    </w:p>
    <w:p>
      <w:pPr>
        <w:pStyle w:val="6"/>
        <w:jc w:val="left"/>
        <w:rPr>
          <w:rFonts w:hint="eastAsia"/>
          <w:sz w:val="28"/>
          <w:szCs w:val="28"/>
          <w:lang w:val="en-US" w:eastAsia="zh-CN"/>
        </w:rPr>
      </w:pPr>
      <w:bookmarkStart w:id="39" w:name="_Toc30371"/>
      <w:r>
        <w:rPr>
          <w:rFonts w:hint="eastAsia" w:ascii="黑体" w:hAnsi="黑体" w:eastAsia="黑体" w:cs="黑体"/>
          <w:color w:val="9D0300"/>
          <w:sz w:val="28"/>
          <w:szCs w:val="28"/>
          <w:lang w:val="en-US" w:eastAsia="zh-CN"/>
        </w:rPr>
        <w:t xml:space="preserve">表 </w:t>
      </w:r>
      <w:r>
        <w:rPr>
          <w:rFonts w:hint="eastAsia" w:ascii="黑体" w:hAnsi="黑体" w:eastAsia="黑体" w:cs="黑体"/>
          <w:color w:val="9D0300"/>
          <w:sz w:val="28"/>
          <w:szCs w:val="28"/>
          <w:lang w:val="en-US" w:eastAsia="zh-CN"/>
        </w:rPr>
        <w:fldChar w:fldCharType="begin"/>
      </w:r>
      <w:r>
        <w:rPr>
          <w:rFonts w:hint="eastAsia" w:ascii="黑体" w:hAnsi="黑体" w:eastAsia="黑体" w:cs="黑体"/>
          <w:color w:val="9D0300"/>
          <w:sz w:val="28"/>
          <w:szCs w:val="28"/>
          <w:lang w:val="en-US" w:eastAsia="zh-CN"/>
        </w:rPr>
        <w:instrText xml:space="preserve"> SEQ 表 \* ARABIC </w:instrText>
      </w:r>
      <w:r>
        <w:rPr>
          <w:rFonts w:hint="eastAsia" w:ascii="黑体" w:hAnsi="黑体" w:eastAsia="黑体" w:cs="黑体"/>
          <w:color w:val="9D0300"/>
          <w:sz w:val="28"/>
          <w:szCs w:val="28"/>
          <w:lang w:val="en-US" w:eastAsia="zh-CN"/>
        </w:rPr>
        <w:fldChar w:fldCharType="separate"/>
      </w:r>
      <w:r>
        <w:rPr>
          <w:rFonts w:hint="eastAsia" w:ascii="黑体" w:hAnsi="黑体" w:eastAsia="黑体" w:cs="黑体"/>
          <w:color w:val="9D0300"/>
          <w:sz w:val="28"/>
          <w:szCs w:val="28"/>
          <w:lang w:val="en-US" w:eastAsia="zh-CN"/>
        </w:rPr>
        <w:t>4</w:t>
      </w:r>
      <w:r>
        <w:rPr>
          <w:rFonts w:hint="eastAsia" w:ascii="黑体" w:hAnsi="黑体" w:eastAsia="黑体" w:cs="黑体"/>
          <w:color w:val="9D0300"/>
          <w:sz w:val="28"/>
          <w:szCs w:val="28"/>
          <w:lang w:val="en-US" w:eastAsia="zh-CN"/>
        </w:rPr>
        <w:fldChar w:fldCharType="end"/>
      </w:r>
      <w:bookmarkStart w:id="40" w:name="_Toc2484"/>
      <w:bookmarkStart w:id="41" w:name="_Toc8365"/>
      <w:r>
        <w:rPr>
          <w:rFonts w:hint="eastAsia" w:ascii="黑体" w:hAnsi="黑体" w:cs="黑体"/>
          <w:color w:val="9D0300"/>
          <w:sz w:val="28"/>
          <w:szCs w:val="28"/>
          <w:lang w:val="en-US" w:eastAsia="zh-CN"/>
        </w:rPr>
        <w:t xml:space="preserve"> </w:t>
      </w:r>
      <w:r>
        <w:rPr>
          <w:rFonts w:hint="eastAsia" w:ascii="黑体" w:hAnsi="黑体" w:eastAsia="黑体" w:cs="黑体"/>
          <w:color w:val="9D0300"/>
          <w:sz w:val="28"/>
          <w:szCs w:val="28"/>
          <w:lang w:val="en-US" w:eastAsia="zh-CN"/>
        </w:rPr>
        <w:t>2023年山东省莱阳卫生学校学生技能大赛获奖情况一览表</w:t>
      </w:r>
      <w:bookmarkEnd w:id="40"/>
      <w:bookmarkEnd w:id="41"/>
    </w:p>
    <w:bookmarkEnd w:id="39"/>
    <w:tbl>
      <w:tblPr>
        <w:tblStyle w:val="18"/>
        <w:tblW w:w="8787" w:type="dxa"/>
        <w:jc w:val="center"/>
        <w:tblLayout w:type="fixed"/>
        <w:tblCellMar>
          <w:top w:w="0" w:type="dxa"/>
          <w:left w:w="108" w:type="dxa"/>
          <w:bottom w:w="0" w:type="dxa"/>
          <w:right w:w="108" w:type="dxa"/>
        </w:tblCellMar>
      </w:tblPr>
      <w:tblGrid>
        <w:gridCol w:w="1024"/>
        <w:gridCol w:w="1180"/>
        <w:gridCol w:w="2820"/>
        <w:gridCol w:w="980"/>
        <w:gridCol w:w="930"/>
        <w:gridCol w:w="1920"/>
      </w:tblGrid>
      <w:tr>
        <w:tblPrEx>
          <w:tblCellMar>
            <w:top w:w="0" w:type="dxa"/>
            <w:left w:w="108" w:type="dxa"/>
            <w:bottom w:w="0" w:type="dxa"/>
            <w:right w:w="108" w:type="dxa"/>
          </w:tblCellMar>
        </w:tblPrEx>
        <w:trPr>
          <w:trHeight w:val="270" w:hRule="atLeast"/>
          <w:jc w:val="center"/>
        </w:trPr>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bCs/>
                <w:sz w:val="21"/>
                <w:szCs w:val="21"/>
                <w:lang w:val="en-US" w:eastAsia="zh-CN"/>
              </w:rPr>
            </w:pPr>
            <w:r>
              <w:rPr>
                <w:rFonts w:hint="eastAsia" w:ascii="宋体" w:hAnsi="宋体" w:eastAsia="宋体" w:cs="宋体"/>
                <w:b/>
                <w:bCs/>
                <w:kern w:val="0"/>
                <w:sz w:val="21"/>
                <w:szCs w:val="21"/>
                <w:lang w:val="en-US" w:eastAsia="zh-CN" w:bidi="ar"/>
              </w:rPr>
              <w:t>姓名</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bCs/>
                <w:sz w:val="21"/>
                <w:szCs w:val="21"/>
                <w:lang w:val="en-US" w:eastAsia="zh-CN"/>
              </w:rPr>
            </w:pPr>
            <w:r>
              <w:rPr>
                <w:rFonts w:hint="eastAsia" w:ascii="宋体" w:hAnsi="宋体" w:eastAsia="宋体" w:cs="宋体"/>
                <w:b/>
                <w:bCs/>
                <w:kern w:val="0"/>
                <w:sz w:val="21"/>
                <w:szCs w:val="21"/>
                <w:lang w:val="en-US" w:eastAsia="zh-CN" w:bidi="ar"/>
              </w:rPr>
              <w:t>所在班级</w:t>
            </w:r>
          </w:p>
        </w:tc>
        <w:tc>
          <w:tcPr>
            <w:tcW w:w="28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赛项名称</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级别</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奖次</w:t>
            </w:r>
          </w:p>
        </w:tc>
        <w:tc>
          <w:tcPr>
            <w:tcW w:w="19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eastAsia" w:ascii="宋体" w:hAnsi="宋体" w:eastAsia="宋体" w:cs="宋体"/>
                <w:b/>
                <w:bCs/>
                <w:sz w:val="21"/>
                <w:szCs w:val="21"/>
              </w:rPr>
            </w:pPr>
            <w:r>
              <w:rPr>
                <w:rFonts w:hint="eastAsia" w:ascii="宋体" w:hAnsi="宋体" w:eastAsia="宋体" w:cs="宋体"/>
                <w:b/>
                <w:bCs/>
                <w:kern w:val="0"/>
                <w:sz w:val="21"/>
                <w:szCs w:val="21"/>
                <w:lang w:bidi="ar"/>
              </w:rPr>
              <w:t>主办单位</w:t>
            </w:r>
          </w:p>
        </w:tc>
      </w:tr>
      <w:tr>
        <w:tblPrEx>
          <w:tblCellMar>
            <w:top w:w="0" w:type="dxa"/>
            <w:left w:w="108" w:type="dxa"/>
            <w:bottom w:w="0" w:type="dxa"/>
            <w:right w:w="108" w:type="dxa"/>
          </w:tblCellMar>
        </w:tblPrEx>
        <w:trPr>
          <w:trHeight w:val="380" w:hRule="atLeast"/>
          <w:jc w:val="center"/>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孙海慧</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20护6</w:t>
            </w:r>
          </w:p>
        </w:tc>
        <w:tc>
          <w:tcPr>
            <w:tcW w:w="28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sz w:val="21"/>
                <w:szCs w:val="21"/>
              </w:rPr>
            </w:pPr>
            <w:r>
              <w:rPr>
                <w:rFonts w:hint="eastAsia" w:ascii="宋体" w:hAnsi="宋体" w:eastAsia="宋体" w:cs="宋体"/>
                <w:kern w:val="0"/>
                <w:sz w:val="21"/>
                <w:szCs w:val="21"/>
                <w:lang w:bidi="ar"/>
              </w:rPr>
              <w:t>2023年全国职业院校技能大赛中职护理技能赛项</w:t>
            </w:r>
          </w:p>
        </w:tc>
        <w:tc>
          <w:tcPr>
            <w:tcW w:w="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国家级</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lang w:eastAsia="zh-CN"/>
              </w:rPr>
            </w:pPr>
            <w:r>
              <w:rPr>
                <w:rFonts w:hint="eastAsia" w:ascii="宋体" w:hAnsi="宋体" w:eastAsia="宋体" w:cs="宋体"/>
                <w:kern w:val="0"/>
                <w:sz w:val="21"/>
                <w:szCs w:val="21"/>
                <w:lang w:val="en-US" w:eastAsia="zh-CN" w:bidi="ar"/>
              </w:rPr>
              <w:t>一等奖</w:t>
            </w:r>
          </w:p>
        </w:tc>
        <w:tc>
          <w:tcPr>
            <w:tcW w:w="19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全国职业院校技能大赛组织委员会</w:t>
            </w:r>
          </w:p>
        </w:tc>
      </w:tr>
      <w:tr>
        <w:tblPrEx>
          <w:tblCellMar>
            <w:top w:w="0" w:type="dxa"/>
            <w:left w:w="108" w:type="dxa"/>
            <w:bottom w:w="0" w:type="dxa"/>
            <w:right w:w="108" w:type="dxa"/>
          </w:tblCellMar>
        </w:tblPrEx>
        <w:trPr>
          <w:trHeight w:val="405" w:hRule="atLeast"/>
          <w:jc w:val="center"/>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卜佳慧</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20护4</w:t>
            </w:r>
          </w:p>
        </w:tc>
        <w:tc>
          <w:tcPr>
            <w:tcW w:w="28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sz w:val="21"/>
                <w:szCs w:val="21"/>
              </w:rPr>
            </w:pPr>
          </w:p>
        </w:tc>
        <w:tc>
          <w:tcPr>
            <w:tcW w:w="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c>
          <w:tcPr>
            <w:tcW w:w="19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z w:val="21"/>
                <w:szCs w:val="21"/>
              </w:rPr>
            </w:pPr>
          </w:p>
        </w:tc>
      </w:tr>
      <w:tr>
        <w:tblPrEx>
          <w:tblCellMar>
            <w:top w:w="0" w:type="dxa"/>
            <w:left w:w="108" w:type="dxa"/>
            <w:bottom w:w="0" w:type="dxa"/>
            <w:right w:w="108" w:type="dxa"/>
          </w:tblCellMar>
        </w:tblPrEx>
        <w:trPr>
          <w:trHeight w:val="380" w:hRule="atLeast"/>
          <w:jc w:val="center"/>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高铭</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20</w:t>
            </w:r>
            <w:r>
              <w:rPr>
                <w:rStyle w:val="23"/>
                <w:rFonts w:hint="eastAsia" w:ascii="宋体" w:hAnsi="宋体" w:eastAsia="宋体" w:cs="宋体"/>
                <w:color w:val="auto"/>
                <w:sz w:val="21"/>
                <w:szCs w:val="21"/>
                <w:lang w:bidi="ar"/>
              </w:rPr>
              <w:t>检1</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第九届全国职业院校检验技能竞赛中职组细菌检验</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国家级</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二等奖</w:t>
            </w:r>
          </w:p>
        </w:tc>
        <w:tc>
          <w:tcPr>
            <w:tcW w:w="1920"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kern w:val="0"/>
                <w:sz w:val="21"/>
                <w:szCs w:val="21"/>
                <w:lang w:bidi="ar"/>
              </w:rPr>
            </w:pPr>
            <w:r>
              <w:rPr>
                <w:rFonts w:hint="eastAsia" w:ascii="宋体" w:hAnsi="宋体" w:eastAsia="宋体" w:cs="宋体"/>
                <w:kern w:val="0"/>
                <w:sz w:val="21"/>
                <w:szCs w:val="21"/>
                <w:lang w:bidi="ar"/>
              </w:rPr>
              <w:t>全国卫生职业教育研究会  全国卫生职业教育检验专业研究会</w:t>
            </w:r>
          </w:p>
          <w:p>
            <w:pPr>
              <w:widowControl/>
              <w:jc w:val="center"/>
              <w:textAlignment w:val="center"/>
              <w:rPr>
                <w:rFonts w:hint="eastAsia" w:ascii="宋体" w:hAnsi="宋体" w:eastAsia="宋体" w:cs="宋体"/>
                <w:sz w:val="21"/>
                <w:szCs w:val="21"/>
              </w:rPr>
            </w:pPr>
          </w:p>
        </w:tc>
      </w:tr>
      <w:tr>
        <w:tblPrEx>
          <w:tblCellMar>
            <w:top w:w="0" w:type="dxa"/>
            <w:left w:w="108" w:type="dxa"/>
            <w:bottom w:w="0" w:type="dxa"/>
            <w:right w:w="108" w:type="dxa"/>
          </w:tblCellMar>
        </w:tblPrEx>
        <w:trPr>
          <w:trHeight w:val="380" w:hRule="atLeast"/>
          <w:jc w:val="center"/>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高铭</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20</w:t>
            </w:r>
            <w:r>
              <w:rPr>
                <w:rStyle w:val="23"/>
                <w:rFonts w:hint="eastAsia" w:ascii="宋体" w:hAnsi="宋体" w:eastAsia="宋体" w:cs="宋体"/>
                <w:color w:val="auto"/>
                <w:sz w:val="21"/>
                <w:szCs w:val="21"/>
                <w:lang w:bidi="ar"/>
              </w:rPr>
              <w:t>检</w:t>
            </w:r>
            <w:r>
              <w:rPr>
                <w:rFonts w:hint="eastAsia" w:ascii="宋体" w:hAnsi="宋体" w:eastAsia="宋体" w:cs="宋体"/>
                <w:kern w:val="0"/>
                <w:sz w:val="21"/>
                <w:szCs w:val="21"/>
                <w:lang w:bidi="ar"/>
              </w:rPr>
              <w:t>1</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第九届全国职业院校检验技能竞赛中职组形态学检验</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国家级</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一等奖</w:t>
            </w:r>
          </w:p>
        </w:tc>
        <w:tc>
          <w:tcPr>
            <w:tcW w:w="1920"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p>
        </w:tc>
      </w:tr>
      <w:tr>
        <w:tblPrEx>
          <w:tblCellMar>
            <w:top w:w="0" w:type="dxa"/>
            <w:left w:w="108" w:type="dxa"/>
            <w:bottom w:w="0" w:type="dxa"/>
            <w:right w:w="108" w:type="dxa"/>
          </w:tblCellMar>
        </w:tblPrEx>
        <w:trPr>
          <w:trHeight w:val="380" w:hRule="atLeast"/>
          <w:jc w:val="center"/>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高铭</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20</w:t>
            </w:r>
            <w:r>
              <w:rPr>
                <w:rStyle w:val="23"/>
                <w:rFonts w:hint="eastAsia" w:ascii="宋体" w:hAnsi="宋体" w:eastAsia="宋体" w:cs="宋体"/>
                <w:color w:val="auto"/>
                <w:sz w:val="21"/>
                <w:szCs w:val="21"/>
                <w:lang w:bidi="ar"/>
              </w:rPr>
              <w:t>检</w:t>
            </w:r>
            <w:r>
              <w:rPr>
                <w:rFonts w:hint="eastAsia" w:ascii="宋体" w:hAnsi="宋体" w:eastAsia="宋体" w:cs="宋体"/>
                <w:kern w:val="0"/>
                <w:sz w:val="21"/>
                <w:szCs w:val="21"/>
                <w:lang w:bidi="ar"/>
              </w:rPr>
              <w:t>1</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第九届全国职业院校检验技能竞赛中职组白细胞计数项目组综合奖</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国家级</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二等奖</w:t>
            </w:r>
          </w:p>
        </w:tc>
        <w:tc>
          <w:tcPr>
            <w:tcW w:w="1920"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p>
        </w:tc>
      </w:tr>
      <w:tr>
        <w:tblPrEx>
          <w:tblCellMar>
            <w:top w:w="0" w:type="dxa"/>
            <w:left w:w="108" w:type="dxa"/>
            <w:bottom w:w="0" w:type="dxa"/>
            <w:right w:w="108" w:type="dxa"/>
          </w:tblCellMar>
        </w:tblPrEx>
        <w:trPr>
          <w:trHeight w:val="380" w:hRule="atLeast"/>
          <w:jc w:val="center"/>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崔静</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20</w:t>
            </w:r>
            <w:r>
              <w:rPr>
                <w:rStyle w:val="23"/>
                <w:rFonts w:hint="eastAsia" w:ascii="宋体" w:hAnsi="宋体" w:eastAsia="宋体" w:cs="宋体"/>
                <w:color w:val="auto"/>
                <w:sz w:val="21"/>
                <w:szCs w:val="21"/>
                <w:lang w:bidi="ar"/>
              </w:rPr>
              <w:t>检</w:t>
            </w:r>
            <w:r>
              <w:rPr>
                <w:rFonts w:hint="eastAsia" w:ascii="宋体" w:hAnsi="宋体" w:eastAsia="宋体" w:cs="宋体"/>
                <w:kern w:val="0"/>
                <w:sz w:val="21"/>
                <w:szCs w:val="21"/>
                <w:lang w:bidi="ar"/>
              </w:rPr>
              <w:t>2</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第九届全国职业院校检验技能竞赛中职组总蛋白测定</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国家级</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一等奖</w:t>
            </w:r>
          </w:p>
        </w:tc>
        <w:tc>
          <w:tcPr>
            <w:tcW w:w="1920"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p>
        </w:tc>
      </w:tr>
      <w:tr>
        <w:tblPrEx>
          <w:tblCellMar>
            <w:top w:w="0" w:type="dxa"/>
            <w:left w:w="108" w:type="dxa"/>
            <w:bottom w:w="0" w:type="dxa"/>
            <w:right w:w="108" w:type="dxa"/>
          </w:tblCellMar>
        </w:tblPrEx>
        <w:trPr>
          <w:trHeight w:val="380" w:hRule="atLeast"/>
          <w:jc w:val="center"/>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崔静</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20</w:t>
            </w:r>
            <w:r>
              <w:rPr>
                <w:rStyle w:val="23"/>
                <w:rFonts w:hint="eastAsia" w:ascii="宋体" w:hAnsi="宋体" w:eastAsia="宋体" w:cs="宋体"/>
                <w:color w:val="auto"/>
                <w:sz w:val="21"/>
                <w:szCs w:val="21"/>
                <w:lang w:bidi="ar"/>
              </w:rPr>
              <w:t>检</w:t>
            </w:r>
            <w:r>
              <w:rPr>
                <w:rFonts w:hint="eastAsia" w:ascii="宋体" w:hAnsi="宋体" w:eastAsia="宋体" w:cs="宋体"/>
                <w:kern w:val="0"/>
                <w:sz w:val="21"/>
                <w:szCs w:val="21"/>
                <w:lang w:bidi="ar"/>
              </w:rPr>
              <w:t>2</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第九届全国职业院校检验技能竞赛中职组形态学检验</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国家级</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二等奖</w:t>
            </w:r>
          </w:p>
        </w:tc>
        <w:tc>
          <w:tcPr>
            <w:tcW w:w="1920"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p>
        </w:tc>
      </w:tr>
      <w:tr>
        <w:tblPrEx>
          <w:tblCellMar>
            <w:top w:w="0" w:type="dxa"/>
            <w:left w:w="108" w:type="dxa"/>
            <w:bottom w:w="0" w:type="dxa"/>
            <w:right w:w="108" w:type="dxa"/>
          </w:tblCellMar>
        </w:tblPrEx>
        <w:trPr>
          <w:trHeight w:val="380" w:hRule="atLeast"/>
          <w:jc w:val="center"/>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崔静</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20</w:t>
            </w:r>
            <w:r>
              <w:rPr>
                <w:rStyle w:val="23"/>
                <w:rFonts w:hint="eastAsia" w:ascii="宋体" w:hAnsi="宋体" w:eastAsia="宋体" w:cs="宋体"/>
                <w:color w:val="auto"/>
                <w:sz w:val="21"/>
                <w:szCs w:val="21"/>
                <w:lang w:bidi="ar"/>
              </w:rPr>
              <w:t>检</w:t>
            </w:r>
            <w:r>
              <w:rPr>
                <w:rFonts w:hint="eastAsia" w:ascii="宋体" w:hAnsi="宋体" w:eastAsia="宋体" w:cs="宋体"/>
                <w:kern w:val="0"/>
                <w:sz w:val="21"/>
                <w:szCs w:val="21"/>
                <w:lang w:bidi="ar"/>
              </w:rPr>
              <w:t>2</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第九届全国职业院校检验技能竞赛中职组总蛋白测定项目组综合奖</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国家级</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一等奖</w:t>
            </w:r>
          </w:p>
        </w:tc>
        <w:tc>
          <w:tcPr>
            <w:tcW w:w="1920"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p>
        </w:tc>
      </w:tr>
      <w:tr>
        <w:tblPrEx>
          <w:tblCellMar>
            <w:top w:w="0" w:type="dxa"/>
            <w:left w:w="108" w:type="dxa"/>
            <w:bottom w:w="0" w:type="dxa"/>
            <w:right w:w="108" w:type="dxa"/>
          </w:tblCellMar>
        </w:tblPrEx>
        <w:trPr>
          <w:trHeight w:val="380" w:hRule="atLeast"/>
          <w:jc w:val="center"/>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孙靖淳</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20</w:t>
            </w:r>
            <w:r>
              <w:rPr>
                <w:rStyle w:val="23"/>
                <w:rFonts w:hint="eastAsia" w:ascii="宋体" w:hAnsi="宋体" w:eastAsia="宋体" w:cs="宋体"/>
                <w:color w:val="auto"/>
                <w:sz w:val="21"/>
                <w:szCs w:val="21"/>
                <w:lang w:bidi="ar"/>
              </w:rPr>
              <w:t>检</w:t>
            </w:r>
            <w:r>
              <w:rPr>
                <w:rFonts w:hint="eastAsia" w:ascii="宋体" w:hAnsi="宋体" w:eastAsia="宋体" w:cs="宋体"/>
                <w:kern w:val="0"/>
                <w:sz w:val="21"/>
                <w:szCs w:val="21"/>
                <w:lang w:bidi="ar"/>
              </w:rPr>
              <w:t>2</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第九届全国职业院校检验技能竞赛中职组白细胞计数</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国家级</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一等奖</w:t>
            </w:r>
          </w:p>
        </w:tc>
        <w:tc>
          <w:tcPr>
            <w:tcW w:w="1920"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p>
        </w:tc>
      </w:tr>
      <w:tr>
        <w:tblPrEx>
          <w:tblCellMar>
            <w:top w:w="0" w:type="dxa"/>
            <w:left w:w="108" w:type="dxa"/>
            <w:bottom w:w="0" w:type="dxa"/>
            <w:right w:w="108" w:type="dxa"/>
          </w:tblCellMar>
        </w:tblPrEx>
        <w:trPr>
          <w:trHeight w:val="380" w:hRule="atLeast"/>
          <w:jc w:val="center"/>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孙靖淳</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20</w:t>
            </w:r>
            <w:r>
              <w:rPr>
                <w:rStyle w:val="23"/>
                <w:rFonts w:hint="eastAsia" w:ascii="宋体" w:hAnsi="宋体" w:eastAsia="宋体" w:cs="宋体"/>
                <w:color w:val="auto"/>
                <w:sz w:val="21"/>
                <w:szCs w:val="21"/>
                <w:lang w:bidi="ar"/>
              </w:rPr>
              <w:t>检</w:t>
            </w:r>
            <w:r>
              <w:rPr>
                <w:rFonts w:hint="eastAsia" w:ascii="宋体" w:hAnsi="宋体" w:eastAsia="宋体" w:cs="宋体"/>
                <w:kern w:val="0"/>
                <w:sz w:val="21"/>
                <w:szCs w:val="21"/>
                <w:lang w:bidi="ar"/>
              </w:rPr>
              <w:t>2</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第九届全国职业院校检验技能竞赛中职组形态学检验</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国家级</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二等奖</w:t>
            </w:r>
          </w:p>
        </w:tc>
        <w:tc>
          <w:tcPr>
            <w:tcW w:w="1920"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p>
        </w:tc>
      </w:tr>
      <w:tr>
        <w:tblPrEx>
          <w:tblCellMar>
            <w:top w:w="0" w:type="dxa"/>
            <w:left w:w="108" w:type="dxa"/>
            <w:bottom w:w="0" w:type="dxa"/>
            <w:right w:w="108" w:type="dxa"/>
          </w:tblCellMar>
        </w:tblPrEx>
        <w:trPr>
          <w:trHeight w:val="380" w:hRule="atLeast"/>
          <w:jc w:val="center"/>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孙靖淳</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20</w:t>
            </w:r>
            <w:r>
              <w:rPr>
                <w:rStyle w:val="23"/>
                <w:rFonts w:hint="eastAsia" w:ascii="宋体" w:hAnsi="宋体" w:eastAsia="宋体" w:cs="宋体"/>
                <w:color w:val="auto"/>
                <w:sz w:val="21"/>
                <w:szCs w:val="21"/>
                <w:lang w:bidi="ar"/>
              </w:rPr>
              <w:t>检</w:t>
            </w:r>
            <w:r>
              <w:rPr>
                <w:rFonts w:hint="eastAsia" w:ascii="宋体" w:hAnsi="宋体" w:eastAsia="宋体" w:cs="宋体"/>
                <w:kern w:val="0"/>
                <w:sz w:val="21"/>
                <w:szCs w:val="21"/>
                <w:lang w:bidi="ar"/>
              </w:rPr>
              <w:t>2</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宋体" w:hAnsi="宋体" w:eastAsia="宋体" w:cs="宋体"/>
                <w:sz w:val="21"/>
                <w:szCs w:val="21"/>
              </w:rPr>
            </w:pPr>
            <w:r>
              <w:rPr>
                <w:rFonts w:hint="eastAsia" w:ascii="宋体" w:hAnsi="宋体" w:eastAsia="宋体" w:cs="宋体"/>
                <w:kern w:val="0"/>
                <w:sz w:val="21"/>
                <w:szCs w:val="21"/>
                <w:lang w:bidi="ar"/>
              </w:rPr>
              <w:t>第九届全国职业院校检验技能竞赛中职组白细胞计数项目组综合奖</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国家级</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r>
              <w:rPr>
                <w:rFonts w:hint="eastAsia" w:ascii="宋体" w:hAnsi="宋体" w:eastAsia="宋体" w:cs="宋体"/>
                <w:kern w:val="0"/>
                <w:sz w:val="21"/>
                <w:szCs w:val="21"/>
                <w:lang w:bidi="ar"/>
              </w:rPr>
              <w:t>一等奖</w:t>
            </w:r>
          </w:p>
        </w:tc>
        <w:tc>
          <w:tcPr>
            <w:tcW w:w="1920" w:type="dxa"/>
            <w:vMerge w:val="continue"/>
            <w:tcBorders>
              <w:left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sz w:val="21"/>
                <w:szCs w:val="21"/>
              </w:rPr>
            </w:pPr>
          </w:p>
        </w:tc>
      </w:tr>
      <w:tr>
        <w:tblPrEx>
          <w:tblCellMar>
            <w:top w:w="0" w:type="dxa"/>
            <w:left w:w="108" w:type="dxa"/>
            <w:bottom w:w="0" w:type="dxa"/>
            <w:right w:w="108" w:type="dxa"/>
          </w:tblCellMar>
        </w:tblPrEx>
        <w:trPr>
          <w:trHeight w:val="380" w:hRule="atLeast"/>
          <w:jc w:val="center"/>
        </w:trPr>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bidi="ar"/>
              </w:rPr>
              <w:t>孙海慧</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bidi="ar"/>
              </w:rPr>
              <w:t>20护6</w:t>
            </w:r>
          </w:p>
        </w:tc>
        <w:tc>
          <w:tcPr>
            <w:tcW w:w="28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rPr>
              <w:t>山东省职业院校技能大赛护理技能赛项</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省级</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一等奖</w:t>
            </w:r>
          </w:p>
        </w:tc>
        <w:tc>
          <w:tcPr>
            <w:tcW w:w="1920" w:type="dxa"/>
            <w:tcBorders>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kern w:val="0"/>
                <w:sz w:val="21"/>
                <w:szCs w:val="21"/>
                <w:lang w:bidi="ar"/>
              </w:rPr>
              <w:t>山东省教育厅、山东省工业和信息化厅、山东省</w:t>
            </w:r>
            <w:r>
              <w:rPr>
                <w:rFonts w:hint="eastAsia" w:ascii="宋体" w:hAnsi="宋体" w:eastAsia="宋体" w:cs="宋体"/>
                <w:kern w:val="0"/>
                <w:sz w:val="21"/>
                <w:szCs w:val="21"/>
                <w:lang w:val="en-US" w:eastAsia="zh-CN" w:bidi="ar"/>
              </w:rPr>
              <w:t>人社</w:t>
            </w:r>
            <w:r>
              <w:rPr>
                <w:rFonts w:hint="eastAsia" w:ascii="宋体" w:hAnsi="宋体" w:eastAsia="宋体" w:cs="宋体"/>
                <w:kern w:val="0"/>
                <w:sz w:val="21"/>
                <w:szCs w:val="21"/>
                <w:lang w:bidi="ar"/>
              </w:rPr>
              <w:t>厅、山东省农业农村厅</w:t>
            </w:r>
          </w:p>
        </w:tc>
      </w:tr>
    </w:tbl>
    <w:p>
      <w:pPr>
        <w:pStyle w:val="13"/>
        <w:snapToGrid w:val="0"/>
        <w:rPr>
          <w:rFonts w:hint="eastAsia" w:ascii="宋体" w:hAnsi="宋体" w:eastAsia="宋体" w:cs="宋体"/>
          <w:b/>
          <w:bCs/>
          <w:color w:val="A20000"/>
          <w:sz w:val="21"/>
          <w:szCs w:val="21"/>
          <w:highlight w:val="none"/>
          <w:lang w:val="en-US" w:eastAsia="zh-CN"/>
        </w:rPr>
      </w:pPr>
      <w:r>
        <w:rPr>
          <w:rFonts w:hint="eastAsia" w:ascii="宋体" w:hAnsi="宋体" w:eastAsia="宋体" w:cs="宋体"/>
          <w:sz w:val="21"/>
          <w:szCs w:val="21"/>
          <w:lang w:val="en-US" w:eastAsia="zh-CN"/>
        </w:rPr>
        <w:t>数据来源：山东省莱阳卫生学校教务处</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华文新魏" w:hAnsi="华文新魏" w:eastAsia="华文新魏" w:cs="华文新魏"/>
          <w:b/>
          <w:bCs/>
          <w:color w:val="A20000"/>
          <w:sz w:val="32"/>
          <w:szCs w:val="32"/>
          <w:highlight w:val="none"/>
          <w:lang w:val="en-US" w:eastAsia="zh-CN"/>
        </w:rPr>
      </w:pPr>
      <w:r>
        <w:rPr>
          <w:rFonts w:hint="eastAsia" w:ascii="华文新魏" w:hAnsi="华文新魏" w:eastAsia="华文新魏" w:cs="华文新魏"/>
          <w:b/>
          <w:bCs/>
          <w:color w:val="A20000"/>
          <w:sz w:val="32"/>
          <w:szCs w:val="32"/>
          <w:highlight w:val="none"/>
          <w:lang w:val="en-US" w:eastAsia="zh-CN"/>
        </w:rPr>
        <w:t>案例 10：关爱生命，救在身边连获两项全国急救大赛第一</w:t>
      </w:r>
    </w:p>
    <w:p>
      <w:pPr>
        <w:keepNext w:val="0"/>
        <w:keepLines w:val="0"/>
        <w:pageBreakBefore w:val="0"/>
        <w:widowControl w:val="0"/>
        <w:kinsoku/>
        <w:wordWrap/>
        <w:overflowPunct/>
        <w:topLinePunct w:val="0"/>
        <w:autoSpaceDE/>
        <w:autoSpaceDN/>
        <w:bidi w:val="0"/>
        <w:adjustRightInd/>
        <w:snapToGrid/>
        <w:spacing w:after="120" w:line="560" w:lineRule="exact"/>
        <w:ind w:firstLine="560" w:firstLineChars="200"/>
        <w:jc w:val="left"/>
        <w:textAlignment w:val="auto"/>
        <w:rPr>
          <w:rFonts w:hint="eastAsia" w:cs="黑体"/>
          <w:color w:val="A20000"/>
          <w:sz w:val="30"/>
          <w:szCs w:val="30"/>
        </w:rPr>
      </w:pPr>
      <w:r>
        <w:rPr>
          <w:rFonts w:hint="eastAsia" w:ascii="楷体" w:hAnsi="楷体" w:eastAsia="楷体" w:cs="楷体"/>
          <w:sz w:val="28"/>
          <w:szCs w:val="28"/>
          <w:highlight w:val="none"/>
          <w:lang w:val="en-US" w:eastAsia="zh-CN"/>
        </w:rPr>
        <w:t>山东省莱阳卫生学校</w:t>
      </w:r>
      <w:r>
        <w:rPr>
          <w:rFonts w:hint="eastAsia" w:ascii="楷体" w:hAnsi="楷体" w:eastAsia="楷体" w:cs="楷体"/>
          <w:sz w:val="28"/>
          <w:szCs w:val="28"/>
          <w:highlight w:val="none"/>
        </w:rPr>
        <w:t>师生团队分获2023“一带一路”暨金砖国家技能发展与技术创新大赛首届校园急救与救护技术选拔赛、全国第二届现场救护技能大赛一等奖。学校始终把实践育人作为培养时代新人的重要抓手，通过校企合作、课堂教学、实训实习、社会实践等方式将急救知识和技能融入教学全过程，提高师生的社会服务能力。学生从新生入学开始进行急救知识教育，80%以上护理专业学生可考取红十字救护员证书。依托中国南丁格尔志愿护理服务总队山东省莱阳卫生学校志愿护理服务队，以及时召萍大师工作室、战文吉技艺技能传承创新平台、曲永松名师工作室等工作室，老师积极向社会传播急救知识和技能。近三年培训人数16700余人次，得到了社会的普遍赞誉。</w:t>
      </w:r>
      <w:r>
        <w:rPr>
          <w:rFonts w:hint="eastAsia" w:cs="黑体"/>
          <w:color w:val="A20000"/>
          <w:sz w:val="30"/>
          <w:szCs w:val="30"/>
        </w:rPr>
        <w:t xml:space="preserve"> </w:t>
      </w:r>
    </w:p>
    <w:p>
      <w:pPr>
        <w:keepNext/>
        <w:keepLines/>
        <w:pageBreakBefore w:val="0"/>
        <w:widowControl w:val="0"/>
        <w:kinsoku/>
        <w:wordWrap/>
        <w:overflowPunct/>
        <w:topLinePunct w:val="0"/>
        <w:autoSpaceDE/>
        <w:autoSpaceDN/>
        <w:bidi w:val="0"/>
        <w:adjustRightInd/>
        <w:snapToGrid/>
        <w:spacing w:before="156" w:beforeLines="50" w:after="156" w:afterLines="50"/>
        <w:ind w:firstLine="0" w:firstLineChars="0"/>
        <w:jc w:val="center"/>
        <w:textAlignment w:val="auto"/>
        <w:outlineLvl w:val="9"/>
        <w:rPr>
          <w:rFonts w:cs="黑体"/>
          <w:color w:val="A20000"/>
          <w:sz w:val="30"/>
          <w:szCs w:val="30"/>
        </w:rPr>
      </w:pPr>
      <w:r>
        <w:rPr>
          <w:rFonts w:hint="eastAsia" w:cs="黑体" w:eastAsiaTheme="minorEastAsia"/>
          <w:color w:val="A20000"/>
          <w:sz w:val="30"/>
          <w:szCs w:val="30"/>
          <w:lang w:eastAsia="zh-CN"/>
        </w:rPr>
        <w:drawing>
          <wp:inline distT="0" distB="0" distL="114300" distR="114300">
            <wp:extent cx="5579745" cy="4184650"/>
            <wp:effectExtent l="0" t="0" r="1905" b="6350"/>
            <wp:docPr id="17" name="图片 17" descr="yidiayi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yidiayilu"/>
                    <pic:cNvPicPr>
                      <a:picLocks noChangeAspect="1"/>
                    </pic:cNvPicPr>
                  </pic:nvPicPr>
                  <pic:blipFill>
                    <a:blip r:embed="rId17"/>
                    <a:stretch>
                      <a:fillRect/>
                    </a:stretch>
                  </pic:blipFill>
                  <pic:spPr>
                    <a:xfrm>
                      <a:off x="0" y="0"/>
                      <a:ext cx="5579745" cy="4184650"/>
                    </a:xfrm>
                    <a:prstGeom prst="rect">
                      <a:avLst/>
                    </a:prstGeom>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黑体" w:hAnsi="黑体" w:eastAsia="黑体" w:cs="黑体"/>
          <w:color w:val="9D0300"/>
          <w:sz w:val="28"/>
          <w:szCs w:val="28"/>
          <w:lang w:val="en-US" w:eastAsia="zh-CN"/>
        </w:rPr>
      </w:pPr>
      <w:bookmarkStart w:id="42" w:name="_Toc26799"/>
      <w:r>
        <w:rPr>
          <w:rFonts w:hint="eastAsia" w:ascii="黑体" w:hAnsi="黑体" w:eastAsia="黑体" w:cs="黑体"/>
          <w:color w:val="9D0300"/>
          <w:sz w:val="28"/>
          <w:szCs w:val="28"/>
          <w:highlight w:val="none"/>
          <w:lang w:val="en-US" w:eastAsia="zh-CN"/>
        </w:rPr>
        <w:t>图</w:t>
      </w:r>
      <w:r>
        <w:rPr>
          <w:rFonts w:hint="eastAsia" w:ascii="黑体" w:hAnsi="黑体" w:cs="黑体"/>
          <w:color w:val="9D0300"/>
          <w:sz w:val="28"/>
          <w:szCs w:val="28"/>
          <w:highlight w:val="none"/>
          <w:lang w:val="en-US" w:eastAsia="zh-CN"/>
        </w:rPr>
        <w:t xml:space="preserve"> </w:t>
      </w:r>
      <w:r>
        <w:rPr>
          <w:rFonts w:hint="eastAsia" w:ascii="黑体" w:hAnsi="黑体" w:eastAsia="黑体" w:cs="黑体"/>
          <w:color w:val="9D0300"/>
          <w:sz w:val="28"/>
          <w:szCs w:val="28"/>
          <w:highlight w:val="none"/>
          <w:lang w:val="en-US" w:eastAsia="zh-CN"/>
        </w:rPr>
        <w:fldChar w:fldCharType="begin"/>
      </w:r>
      <w:r>
        <w:rPr>
          <w:rFonts w:hint="eastAsia" w:ascii="黑体" w:hAnsi="黑体" w:eastAsia="黑体" w:cs="黑体"/>
          <w:color w:val="9D0300"/>
          <w:sz w:val="28"/>
          <w:szCs w:val="28"/>
          <w:highlight w:val="none"/>
          <w:lang w:val="en-US" w:eastAsia="zh-CN"/>
        </w:rPr>
        <w:instrText xml:space="preserve"> SEQ 图 \* ARABIC </w:instrText>
      </w:r>
      <w:r>
        <w:rPr>
          <w:rFonts w:hint="eastAsia" w:ascii="黑体" w:hAnsi="黑体" w:eastAsia="黑体" w:cs="黑体"/>
          <w:color w:val="9D0300"/>
          <w:sz w:val="28"/>
          <w:szCs w:val="28"/>
          <w:highlight w:val="none"/>
          <w:lang w:val="en-US" w:eastAsia="zh-CN"/>
        </w:rPr>
        <w:fldChar w:fldCharType="separate"/>
      </w:r>
      <w:r>
        <w:rPr>
          <w:rFonts w:hint="eastAsia" w:ascii="黑体" w:hAnsi="黑体" w:eastAsia="黑体" w:cs="黑体"/>
          <w:color w:val="9D0300"/>
          <w:sz w:val="28"/>
          <w:szCs w:val="28"/>
          <w:highlight w:val="none"/>
          <w:lang w:val="en-US" w:eastAsia="zh-CN"/>
        </w:rPr>
        <w:t>9</w:t>
      </w:r>
      <w:r>
        <w:rPr>
          <w:rFonts w:hint="eastAsia" w:ascii="黑体" w:hAnsi="黑体" w:eastAsia="黑体" w:cs="黑体"/>
          <w:color w:val="9D0300"/>
          <w:sz w:val="28"/>
          <w:szCs w:val="28"/>
          <w:highlight w:val="none"/>
          <w:lang w:val="en-US" w:eastAsia="zh-CN"/>
        </w:rPr>
        <w:fldChar w:fldCharType="end"/>
      </w:r>
      <w:bookmarkEnd w:id="42"/>
      <w:bookmarkStart w:id="43" w:name="_Toc19612"/>
      <w:r>
        <w:rPr>
          <w:rFonts w:hint="eastAsia" w:ascii="黑体" w:hAnsi="黑体" w:cs="黑体"/>
          <w:color w:val="9D0300"/>
          <w:sz w:val="28"/>
          <w:szCs w:val="28"/>
          <w:highlight w:val="none"/>
          <w:lang w:val="en-US" w:eastAsia="zh-CN"/>
        </w:rPr>
        <w:t xml:space="preserve"> 2023“一带一路”暨金砖国家技能发展与技术创新大赛参赛团队</w:t>
      </w:r>
      <w:bookmarkEnd w:id="43"/>
    </w:p>
    <w:p>
      <w:pPr>
        <w:keepNext/>
        <w:keepLines/>
        <w:pageBreakBefore w:val="0"/>
        <w:widowControl w:val="0"/>
        <w:kinsoku/>
        <w:wordWrap/>
        <w:overflowPunct/>
        <w:topLinePunct w:val="0"/>
        <w:autoSpaceDE/>
        <w:autoSpaceDN/>
        <w:bidi w:val="0"/>
        <w:adjustRightInd/>
        <w:snapToGrid/>
        <w:spacing w:before="156" w:beforeLines="50" w:after="156" w:afterLines="50"/>
        <w:ind w:firstLine="0" w:firstLineChars="0"/>
        <w:jc w:val="center"/>
        <w:textAlignment w:val="auto"/>
        <w:outlineLvl w:val="9"/>
        <w:rPr>
          <w:rFonts w:cs="黑体"/>
          <w:color w:val="A20000"/>
          <w:sz w:val="30"/>
          <w:szCs w:val="30"/>
        </w:rPr>
      </w:pPr>
      <w:r>
        <w:rPr>
          <w:rFonts w:cs="黑体"/>
          <w:color w:val="A20000"/>
          <w:sz w:val="30"/>
          <w:szCs w:val="30"/>
        </w:rPr>
        <w:drawing>
          <wp:inline distT="0" distB="0" distL="114300" distR="114300">
            <wp:extent cx="5579745" cy="3653790"/>
            <wp:effectExtent l="0" t="0" r="1905" b="3810"/>
            <wp:docPr id="29" name="图片 29" descr="IMG_20231121_101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IMG_20231121_101934"/>
                    <pic:cNvPicPr>
                      <a:picLocks noChangeAspect="1"/>
                    </pic:cNvPicPr>
                  </pic:nvPicPr>
                  <pic:blipFill>
                    <a:blip r:embed="rId18"/>
                    <a:srcRect t="12704"/>
                    <a:stretch>
                      <a:fillRect/>
                    </a:stretch>
                  </pic:blipFill>
                  <pic:spPr>
                    <a:xfrm>
                      <a:off x="0" y="0"/>
                      <a:ext cx="5579745" cy="3653790"/>
                    </a:xfrm>
                    <a:prstGeom prst="rect">
                      <a:avLst/>
                    </a:prstGeom>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eastAsia" w:ascii="黑体" w:hAnsi="黑体" w:eastAsia="黑体" w:cs="黑体"/>
          <w:color w:val="9D0300"/>
          <w:sz w:val="28"/>
          <w:szCs w:val="28"/>
          <w:highlight w:val="none"/>
          <w:lang w:val="en-US" w:eastAsia="zh-CN"/>
        </w:rPr>
      </w:pPr>
      <w:bookmarkStart w:id="44" w:name="_Toc6050"/>
      <w:r>
        <w:rPr>
          <w:rFonts w:hint="eastAsia" w:ascii="黑体" w:hAnsi="黑体" w:eastAsia="黑体" w:cs="黑体"/>
          <w:color w:val="9D0300"/>
          <w:sz w:val="28"/>
          <w:szCs w:val="28"/>
          <w:highlight w:val="none"/>
          <w:lang w:val="en-US" w:eastAsia="zh-CN"/>
        </w:rPr>
        <w:t xml:space="preserve">图 </w:t>
      </w:r>
      <w:r>
        <w:rPr>
          <w:rFonts w:hint="eastAsia" w:ascii="黑体" w:hAnsi="黑体" w:eastAsia="黑体" w:cs="黑体"/>
          <w:color w:val="9D0300"/>
          <w:sz w:val="28"/>
          <w:szCs w:val="28"/>
          <w:highlight w:val="none"/>
          <w:lang w:val="en-US" w:eastAsia="zh-CN"/>
        </w:rPr>
        <w:fldChar w:fldCharType="begin"/>
      </w:r>
      <w:r>
        <w:rPr>
          <w:rFonts w:hint="eastAsia" w:ascii="黑体" w:hAnsi="黑体" w:eastAsia="黑体" w:cs="黑体"/>
          <w:color w:val="9D0300"/>
          <w:sz w:val="28"/>
          <w:szCs w:val="28"/>
          <w:highlight w:val="none"/>
          <w:lang w:val="en-US" w:eastAsia="zh-CN"/>
        </w:rPr>
        <w:instrText xml:space="preserve"> SEQ 图 \* ARABIC </w:instrText>
      </w:r>
      <w:r>
        <w:rPr>
          <w:rFonts w:hint="eastAsia" w:ascii="黑体" w:hAnsi="黑体" w:eastAsia="黑体" w:cs="黑体"/>
          <w:color w:val="9D0300"/>
          <w:sz w:val="28"/>
          <w:szCs w:val="28"/>
          <w:highlight w:val="none"/>
          <w:lang w:val="en-US" w:eastAsia="zh-CN"/>
        </w:rPr>
        <w:fldChar w:fldCharType="separate"/>
      </w:r>
      <w:r>
        <w:rPr>
          <w:rFonts w:hint="eastAsia" w:ascii="黑体" w:hAnsi="黑体" w:eastAsia="黑体" w:cs="黑体"/>
          <w:color w:val="9D0300"/>
          <w:sz w:val="28"/>
          <w:szCs w:val="28"/>
          <w:highlight w:val="none"/>
          <w:lang w:val="en-US" w:eastAsia="zh-CN"/>
        </w:rPr>
        <w:t>10</w:t>
      </w:r>
      <w:r>
        <w:rPr>
          <w:rFonts w:hint="eastAsia" w:ascii="黑体" w:hAnsi="黑体" w:eastAsia="黑体" w:cs="黑体"/>
          <w:color w:val="9D0300"/>
          <w:sz w:val="28"/>
          <w:szCs w:val="28"/>
          <w:highlight w:val="none"/>
          <w:lang w:val="en-US" w:eastAsia="zh-CN"/>
        </w:rPr>
        <w:fldChar w:fldCharType="end"/>
      </w:r>
      <w:bookmarkStart w:id="45" w:name="_Toc28959"/>
      <w:r>
        <w:rPr>
          <w:rFonts w:hint="eastAsia" w:ascii="黑体" w:hAnsi="黑体" w:cs="黑体"/>
          <w:color w:val="9D0300"/>
          <w:sz w:val="28"/>
          <w:szCs w:val="28"/>
          <w:highlight w:val="none"/>
          <w:lang w:val="en-US" w:eastAsia="zh-CN"/>
        </w:rPr>
        <w:t xml:space="preserve"> </w:t>
      </w:r>
      <w:r>
        <w:rPr>
          <w:rFonts w:hint="eastAsia" w:ascii="黑体" w:hAnsi="黑体" w:eastAsia="黑体" w:cs="黑体"/>
          <w:color w:val="9D0300"/>
          <w:sz w:val="28"/>
          <w:szCs w:val="28"/>
          <w:highlight w:val="none"/>
          <w:lang w:val="en-US" w:eastAsia="zh-CN"/>
        </w:rPr>
        <w:t>其他院校师生到校进行护理技能大赛经验交流</w:t>
      </w:r>
      <w:bookmarkEnd w:id="45"/>
    </w:p>
    <w:bookmarkEnd w:id="44"/>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华文新魏" w:hAnsi="华文新魏" w:eastAsia="华文新魏" w:cs="华文新魏"/>
          <w:b/>
          <w:bCs/>
          <w:color w:val="A20000"/>
          <w:sz w:val="32"/>
          <w:szCs w:val="32"/>
          <w:highlight w:val="none"/>
          <w:lang w:val="en-US" w:eastAsia="zh-CN"/>
        </w:rPr>
      </w:pPr>
      <w:r>
        <w:rPr>
          <w:rFonts w:hint="eastAsia" w:ascii="华文新魏" w:hAnsi="华文新魏" w:eastAsia="华文新魏" w:cs="华文新魏"/>
          <w:b/>
          <w:bCs/>
          <w:color w:val="A20000"/>
          <w:sz w:val="32"/>
          <w:szCs w:val="32"/>
          <w:highlight w:val="none"/>
          <w:lang w:val="en-US" w:eastAsia="zh-CN"/>
        </w:rPr>
        <w:t xml:space="preserve">案例 </w:t>
      </w:r>
      <w:r>
        <w:rPr>
          <w:rFonts w:hint="eastAsia" w:ascii="华文新魏" w:hAnsi="华文新魏" w:eastAsia="华文新魏" w:cs="华文新魏"/>
          <w:b/>
          <w:bCs/>
          <w:color w:val="A20000"/>
          <w:sz w:val="32"/>
          <w:szCs w:val="32"/>
          <w:highlight w:val="none"/>
          <w:lang w:val="en-US" w:eastAsia="zh-CN"/>
        </w:rPr>
        <w:fldChar w:fldCharType="begin"/>
      </w:r>
      <w:r>
        <w:rPr>
          <w:rFonts w:hint="eastAsia" w:ascii="华文新魏" w:hAnsi="华文新魏" w:eastAsia="华文新魏" w:cs="华文新魏"/>
          <w:b/>
          <w:bCs/>
          <w:color w:val="A20000"/>
          <w:sz w:val="32"/>
          <w:szCs w:val="32"/>
          <w:highlight w:val="none"/>
          <w:lang w:val="en-US" w:eastAsia="zh-CN"/>
        </w:rPr>
        <w:instrText xml:space="preserve"> SEQ 案例 \* ARABIC </w:instrText>
      </w:r>
      <w:r>
        <w:rPr>
          <w:rFonts w:hint="eastAsia" w:ascii="华文新魏" w:hAnsi="华文新魏" w:eastAsia="华文新魏" w:cs="华文新魏"/>
          <w:b/>
          <w:bCs/>
          <w:color w:val="A20000"/>
          <w:sz w:val="32"/>
          <w:szCs w:val="32"/>
          <w:highlight w:val="none"/>
          <w:lang w:val="en-US" w:eastAsia="zh-CN"/>
        </w:rPr>
        <w:fldChar w:fldCharType="separate"/>
      </w:r>
      <w:r>
        <w:rPr>
          <w:rFonts w:hint="eastAsia" w:ascii="华文新魏" w:hAnsi="华文新魏" w:eastAsia="华文新魏" w:cs="华文新魏"/>
          <w:b/>
          <w:bCs/>
          <w:color w:val="A20000"/>
          <w:sz w:val="32"/>
          <w:szCs w:val="32"/>
          <w:highlight w:val="none"/>
          <w:lang w:val="en-US" w:eastAsia="zh-CN"/>
        </w:rPr>
        <w:t>10</w:t>
      </w:r>
      <w:r>
        <w:rPr>
          <w:rFonts w:hint="eastAsia" w:ascii="华文新魏" w:hAnsi="华文新魏" w:eastAsia="华文新魏" w:cs="华文新魏"/>
          <w:b/>
          <w:bCs/>
          <w:color w:val="A20000"/>
          <w:sz w:val="32"/>
          <w:szCs w:val="32"/>
          <w:highlight w:val="none"/>
          <w:lang w:val="en-US" w:eastAsia="zh-CN"/>
        </w:rPr>
        <w:fldChar w:fldCharType="end"/>
      </w:r>
      <w:bookmarkStart w:id="46" w:name="_Toc5950"/>
      <w:r>
        <w:rPr>
          <w:rFonts w:hint="eastAsia" w:ascii="华文新魏" w:hAnsi="华文新魏" w:eastAsia="华文新魏" w:cs="华文新魏"/>
          <w:b/>
          <w:bCs/>
          <w:color w:val="A20000"/>
          <w:sz w:val="32"/>
          <w:szCs w:val="32"/>
          <w:highlight w:val="none"/>
          <w:lang w:val="en-US" w:eastAsia="zh-CN"/>
        </w:rPr>
        <w:t>：岗课赛证有效融通，技能舞台绽放光彩</w:t>
      </w:r>
      <w:bookmarkEnd w:id="46"/>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9"/>
        <w:rPr>
          <w:rFonts w:hint="eastAsia" w:ascii="楷体" w:hAnsi="楷体" w:eastAsia="楷体" w:cs="楷体"/>
          <w:sz w:val="28"/>
          <w:szCs w:val="28"/>
        </w:rPr>
      </w:pPr>
      <w:r>
        <w:rPr>
          <w:rFonts w:hint="eastAsia" w:ascii="楷体" w:hAnsi="楷体" w:eastAsia="楷体" w:cs="楷体"/>
          <w:sz w:val="28"/>
          <w:szCs w:val="28"/>
        </w:rPr>
        <w:t>学校自2008年开始逐步形成校内“教师大比武、学生大练兵”</w:t>
      </w:r>
      <w:r>
        <w:rPr>
          <w:rFonts w:hint="eastAsia" w:ascii="楷体" w:hAnsi="楷体" w:eastAsia="楷体" w:cs="楷体"/>
          <w:sz w:val="28"/>
          <w:szCs w:val="28"/>
          <w:lang w:val="en-US" w:eastAsia="zh-CN"/>
        </w:rPr>
        <w:t>的</w:t>
      </w:r>
      <w:r>
        <w:rPr>
          <w:rFonts w:hint="eastAsia" w:ascii="楷体" w:hAnsi="楷体" w:eastAsia="楷体" w:cs="楷体"/>
          <w:sz w:val="28"/>
          <w:szCs w:val="28"/>
        </w:rPr>
        <w:t>普赛制，师生同台竞技、老中青教师同台竞技，以赛促学、以赛促练、以赛促教、以赛促改氛围浓厚。学校护理专业不断探索用技能大赛标准引领课堂教学改革，通过“学校医院设课堂、校内课堂设病房”的形式促进产教深度融合，将临床岗位与课堂教学无缝衔接、护士执业资格证书考点与专业技能培训考核有机融合，培养综合素质高、适应能力强、人岗匹配度高的护理学生。自2013年参加全国职业院校护理技能大赛以来，护理专业学生秉承“严谨求实、医精德诚”的校训，“冬练三九、夏练三伏”，展示了吃苦耐劳、精益求精的职业素养，学生7次登上国赛竞技舞台，荣获一等奖11项（</w:t>
      </w:r>
      <w:r>
        <w:rPr>
          <w:rFonts w:hint="eastAsia" w:ascii="楷体" w:hAnsi="楷体" w:eastAsia="楷体" w:cs="楷体"/>
          <w:sz w:val="28"/>
          <w:szCs w:val="28"/>
          <w:lang w:val="en-US" w:eastAsia="zh-CN"/>
        </w:rPr>
        <w:t>见表5</w:t>
      </w:r>
      <w:r>
        <w:rPr>
          <w:rFonts w:hint="eastAsia" w:ascii="楷体" w:hAnsi="楷体" w:eastAsia="楷体" w:cs="楷体"/>
          <w:sz w:val="28"/>
          <w:szCs w:val="28"/>
        </w:rPr>
        <w:t>），金牌总量位居全国同类院校首位</w:t>
      </w:r>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见图11</w:t>
      </w:r>
      <w:r>
        <w:rPr>
          <w:rFonts w:hint="eastAsia" w:ascii="楷体" w:hAnsi="楷体" w:eastAsia="楷体" w:cs="楷体"/>
          <w:sz w:val="28"/>
          <w:szCs w:val="28"/>
          <w:lang w:eastAsia="zh-CN"/>
        </w:rPr>
        <w:t>）</w:t>
      </w:r>
      <w:r>
        <w:rPr>
          <w:rFonts w:hint="eastAsia" w:ascii="楷体" w:hAnsi="楷体" w:eastAsia="楷体" w:cs="楷体"/>
          <w:sz w:val="28"/>
          <w:szCs w:val="28"/>
        </w:rPr>
        <w:t>。</w:t>
      </w:r>
      <w:bookmarkStart w:id="47" w:name="_Toc17412"/>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9"/>
        <w:rPr>
          <w:rFonts w:hint="eastAsia" w:ascii="楷体" w:hAnsi="楷体" w:eastAsia="楷体" w:cs="楷体"/>
          <w:sz w:val="28"/>
          <w:szCs w:val="28"/>
          <w:lang w:val="en-US" w:eastAsia="zh-CN"/>
        </w:rPr>
      </w:pPr>
    </w:p>
    <w:p>
      <w:pPr>
        <w:pStyle w:val="6"/>
        <w:jc w:val="both"/>
        <w:rPr>
          <w:rFonts w:hint="eastAsia"/>
          <w:sz w:val="28"/>
          <w:szCs w:val="28"/>
          <w:lang w:val="en-US" w:eastAsia="zh-CN"/>
        </w:rPr>
      </w:pPr>
      <w:r>
        <w:rPr>
          <w:rFonts w:hint="eastAsia" w:ascii="黑体" w:hAnsi="黑体" w:eastAsia="黑体" w:cs="黑体"/>
          <w:color w:val="9D0300"/>
          <w:sz w:val="28"/>
          <w:szCs w:val="28"/>
          <w:lang w:val="en-US" w:eastAsia="zh-CN"/>
        </w:rPr>
        <w:t xml:space="preserve">表 </w:t>
      </w:r>
      <w:r>
        <w:rPr>
          <w:rFonts w:hint="eastAsia" w:ascii="黑体" w:hAnsi="黑体" w:eastAsia="黑体" w:cs="黑体"/>
          <w:color w:val="9D0300"/>
          <w:sz w:val="28"/>
          <w:szCs w:val="28"/>
          <w:lang w:val="en-US" w:eastAsia="zh-CN"/>
        </w:rPr>
        <w:fldChar w:fldCharType="begin"/>
      </w:r>
      <w:r>
        <w:rPr>
          <w:rFonts w:hint="eastAsia" w:ascii="黑体" w:hAnsi="黑体" w:eastAsia="黑体" w:cs="黑体"/>
          <w:color w:val="9D0300"/>
          <w:sz w:val="28"/>
          <w:szCs w:val="28"/>
          <w:lang w:val="en-US" w:eastAsia="zh-CN"/>
        </w:rPr>
        <w:instrText xml:space="preserve"> SEQ 表 \* ARABIC </w:instrText>
      </w:r>
      <w:r>
        <w:rPr>
          <w:rFonts w:hint="eastAsia" w:ascii="黑体" w:hAnsi="黑体" w:eastAsia="黑体" w:cs="黑体"/>
          <w:color w:val="9D0300"/>
          <w:sz w:val="28"/>
          <w:szCs w:val="28"/>
          <w:lang w:val="en-US" w:eastAsia="zh-CN"/>
        </w:rPr>
        <w:fldChar w:fldCharType="separate"/>
      </w:r>
      <w:r>
        <w:rPr>
          <w:rFonts w:hint="eastAsia" w:ascii="黑体" w:hAnsi="黑体" w:eastAsia="黑体" w:cs="黑体"/>
          <w:color w:val="9D0300"/>
          <w:sz w:val="28"/>
          <w:szCs w:val="28"/>
          <w:lang w:val="en-US" w:eastAsia="zh-CN"/>
        </w:rPr>
        <w:t>5</w:t>
      </w:r>
      <w:r>
        <w:rPr>
          <w:rFonts w:hint="eastAsia" w:ascii="黑体" w:hAnsi="黑体" w:eastAsia="黑体" w:cs="黑体"/>
          <w:color w:val="9D0300"/>
          <w:sz w:val="28"/>
          <w:szCs w:val="28"/>
          <w:lang w:val="en-US" w:eastAsia="zh-CN"/>
        </w:rPr>
        <w:fldChar w:fldCharType="end"/>
      </w:r>
      <w:bookmarkStart w:id="48" w:name="_Toc11882"/>
      <w:bookmarkStart w:id="49" w:name="_Toc3270"/>
      <w:r>
        <w:rPr>
          <w:rFonts w:hint="eastAsia" w:ascii="黑体" w:hAnsi="黑体" w:cs="黑体"/>
          <w:color w:val="9D0300"/>
          <w:sz w:val="28"/>
          <w:szCs w:val="28"/>
          <w:lang w:val="en-US" w:eastAsia="zh-CN"/>
        </w:rPr>
        <w:t xml:space="preserve"> </w:t>
      </w:r>
      <w:r>
        <w:rPr>
          <w:rFonts w:hint="eastAsia" w:ascii="黑体" w:hAnsi="黑体" w:eastAsia="黑体" w:cs="黑体"/>
          <w:color w:val="9D0300"/>
          <w:sz w:val="28"/>
          <w:szCs w:val="28"/>
          <w:lang w:val="en-US" w:eastAsia="zh-CN"/>
        </w:rPr>
        <w:t>学校护理专业近十年全国职业院校护理技能竞赛获奖情况一览表</w:t>
      </w:r>
      <w:bookmarkEnd w:id="48"/>
      <w:bookmarkEnd w:id="49"/>
    </w:p>
    <w:bookmarkEnd w:id="47"/>
    <w:tbl>
      <w:tblPr>
        <w:tblStyle w:val="18"/>
        <w:tblW w:w="87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96"/>
        <w:gridCol w:w="2197"/>
        <w:gridCol w:w="2197"/>
        <w:gridCol w:w="21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020" w:type="dxa"/>
            <w:tcBorders>
              <w:top w:val="single" w:color="000000" w:sz="4" w:space="0"/>
              <w:left w:val="single" w:color="000000" w:sz="4" w:space="0"/>
              <w:bottom w:val="single" w:color="000000" w:sz="4" w:space="0"/>
              <w:right w:val="single" w:color="000000" w:sz="4" w:space="0"/>
            </w:tcBorders>
            <w:shd w:val="clear" w:color="CFCECE" w:themeColor="background2" w:themeShade="E5" w:fill="auto"/>
            <w:noWrap/>
            <w:vAlign w:val="center"/>
          </w:tcPr>
          <w:p>
            <w:pPr>
              <w:bidi w:val="0"/>
              <w:jc w:val="center"/>
              <w:rPr>
                <w:rFonts w:hint="eastAsia" w:ascii="宋体" w:hAnsi="宋体" w:eastAsia="宋体" w:cs="宋体"/>
                <w:b/>
                <w:bCs w:val="0"/>
                <w:i w:val="0"/>
                <w:iCs w:val="0"/>
                <w:color w:val="C00000"/>
                <w:sz w:val="21"/>
                <w:szCs w:val="21"/>
                <w:u w:val="none"/>
              </w:rPr>
            </w:pPr>
            <w:r>
              <w:rPr>
                <w:rStyle w:val="27"/>
                <w:rFonts w:hint="eastAsia" w:ascii="宋体" w:hAnsi="宋体" w:eastAsia="宋体" w:cs="宋体"/>
                <w:b/>
                <w:bCs w:val="0"/>
                <w:color w:val="C00000"/>
                <w:sz w:val="21"/>
                <w:szCs w:val="21"/>
                <w:lang w:val="en-US" w:eastAsia="zh-CN" w:bidi="ar"/>
              </w:rPr>
              <w:t>年份</w:t>
            </w:r>
          </w:p>
        </w:tc>
        <w:tc>
          <w:tcPr>
            <w:tcW w:w="1020" w:type="dxa"/>
            <w:tcBorders>
              <w:top w:val="single" w:color="000000" w:sz="4" w:space="0"/>
              <w:left w:val="single" w:color="000000" w:sz="4" w:space="0"/>
              <w:bottom w:val="single" w:color="000000" w:sz="4" w:space="0"/>
              <w:right w:val="single" w:color="000000" w:sz="4" w:space="0"/>
            </w:tcBorders>
            <w:shd w:val="clear" w:color="CFCECE" w:themeColor="background2" w:themeShade="E5" w:fill="auto"/>
            <w:vAlign w:val="center"/>
          </w:tcPr>
          <w:p>
            <w:pPr>
              <w:keepNext w:val="0"/>
              <w:keepLines w:val="0"/>
              <w:widowControl/>
              <w:suppressLineNumbers w:val="0"/>
              <w:jc w:val="center"/>
              <w:textAlignment w:val="center"/>
              <w:rPr>
                <w:rFonts w:hint="eastAsia" w:ascii="宋体" w:hAnsi="宋体" w:eastAsia="宋体" w:cs="宋体"/>
                <w:b/>
                <w:bCs w:val="0"/>
                <w:i w:val="0"/>
                <w:iCs w:val="0"/>
                <w:color w:val="C00000"/>
                <w:sz w:val="21"/>
                <w:szCs w:val="21"/>
                <w:u w:val="none"/>
              </w:rPr>
            </w:pPr>
            <w:r>
              <w:rPr>
                <w:rStyle w:val="27"/>
                <w:rFonts w:hint="eastAsia" w:ascii="宋体" w:hAnsi="宋体" w:eastAsia="宋体" w:cs="宋体"/>
                <w:b/>
                <w:bCs w:val="0"/>
                <w:color w:val="C00000"/>
                <w:sz w:val="21"/>
                <w:szCs w:val="21"/>
                <w:lang w:val="en-US" w:eastAsia="zh-CN" w:bidi="ar"/>
              </w:rPr>
              <w:t>一等奖</w:t>
            </w:r>
          </w:p>
        </w:tc>
        <w:tc>
          <w:tcPr>
            <w:tcW w:w="1020" w:type="dxa"/>
            <w:tcBorders>
              <w:top w:val="single" w:color="000000" w:sz="4" w:space="0"/>
              <w:left w:val="single" w:color="000000" w:sz="4" w:space="0"/>
              <w:bottom w:val="single" w:color="000000" w:sz="4" w:space="0"/>
              <w:right w:val="single" w:color="000000" w:sz="4" w:space="0"/>
            </w:tcBorders>
            <w:shd w:val="clear" w:color="CFCECE" w:themeColor="background2" w:themeShade="E5" w:fill="auto"/>
            <w:vAlign w:val="center"/>
          </w:tcPr>
          <w:p>
            <w:pPr>
              <w:keepNext w:val="0"/>
              <w:keepLines w:val="0"/>
              <w:widowControl/>
              <w:suppressLineNumbers w:val="0"/>
              <w:jc w:val="center"/>
              <w:textAlignment w:val="center"/>
              <w:rPr>
                <w:rFonts w:hint="eastAsia" w:ascii="宋体" w:hAnsi="宋体" w:eastAsia="宋体" w:cs="宋体"/>
                <w:b/>
                <w:bCs w:val="0"/>
                <w:i w:val="0"/>
                <w:iCs w:val="0"/>
                <w:color w:val="C00000"/>
                <w:sz w:val="21"/>
                <w:szCs w:val="21"/>
                <w:u w:val="none"/>
              </w:rPr>
            </w:pPr>
            <w:r>
              <w:rPr>
                <w:rStyle w:val="27"/>
                <w:rFonts w:hint="eastAsia" w:ascii="宋体" w:hAnsi="宋体" w:eastAsia="宋体" w:cs="宋体"/>
                <w:b/>
                <w:bCs w:val="0"/>
                <w:color w:val="C00000"/>
                <w:sz w:val="21"/>
                <w:szCs w:val="21"/>
                <w:lang w:val="en-US" w:eastAsia="zh-CN" w:bidi="ar"/>
              </w:rPr>
              <w:t>二等奖</w:t>
            </w:r>
          </w:p>
        </w:tc>
        <w:tc>
          <w:tcPr>
            <w:tcW w:w="1020" w:type="dxa"/>
            <w:tcBorders>
              <w:top w:val="single" w:color="000000" w:sz="4" w:space="0"/>
              <w:left w:val="single" w:color="000000" w:sz="4" w:space="0"/>
              <w:bottom w:val="single" w:color="000000" w:sz="4" w:space="0"/>
              <w:right w:val="single" w:color="000000" w:sz="4" w:space="0"/>
            </w:tcBorders>
            <w:shd w:val="clear" w:color="CFCECE" w:themeColor="background2" w:themeShade="E5" w:fill="auto"/>
            <w:vAlign w:val="center"/>
          </w:tcPr>
          <w:p>
            <w:pPr>
              <w:keepNext w:val="0"/>
              <w:keepLines w:val="0"/>
              <w:widowControl/>
              <w:suppressLineNumbers w:val="0"/>
              <w:jc w:val="center"/>
              <w:textAlignment w:val="center"/>
              <w:rPr>
                <w:rFonts w:hint="eastAsia" w:ascii="宋体" w:hAnsi="宋体" w:eastAsia="宋体" w:cs="宋体"/>
                <w:b/>
                <w:bCs w:val="0"/>
                <w:i w:val="0"/>
                <w:iCs w:val="0"/>
                <w:color w:val="C00000"/>
                <w:sz w:val="21"/>
                <w:szCs w:val="21"/>
                <w:u w:val="none"/>
              </w:rPr>
            </w:pPr>
            <w:r>
              <w:rPr>
                <w:rStyle w:val="27"/>
                <w:rFonts w:hint="eastAsia" w:ascii="宋体" w:hAnsi="宋体" w:eastAsia="宋体" w:cs="宋体"/>
                <w:b/>
                <w:bCs w:val="0"/>
                <w:color w:val="C00000"/>
                <w:sz w:val="21"/>
                <w:szCs w:val="21"/>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CFCECE" w:themeColor="background2" w:themeShade="E5" w:fill="FEF2CB" w:themeFill="accent3" w:themeFillTint="32"/>
            <w:noWrap/>
            <w:vAlign w:val="center"/>
          </w:tcPr>
          <w:p>
            <w:pPr>
              <w:keepNext w:val="0"/>
              <w:keepLines w:val="0"/>
              <w:widowControl/>
              <w:suppressLineNumbers w:val="0"/>
              <w:jc w:val="center"/>
              <w:textAlignment w:val="center"/>
              <w:rPr>
                <w:rFonts w:hint="eastAsia" w:ascii="宋体" w:hAnsi="宋体" w:eastAsia="宋体" w:cs="宋体"/>
                <w:i w:val="0"/>
                <w:iCs w:val="0"/>
                <w:color w:val="C00000"/>
                <w:sz w:val="21"/>
                <w:szCs w:val="21"/>
                <w:u w:val="none"/>
              </w:rPr>
            </w:pPr>
            <w:r>
              <w:rPr>
                <w:rFonts w:hint="eastAsia" w:ascii="宋体" w:hAnsi="宋体" w:eastAsia="宋体" w:cs="宋体"/>
                <w:i w:val="0"/>
                <w:iCs w:val="0"/>
                <w:color w:val="C00000"/>
                <w:kern w:val="0"/>
                <w:sz w:val="21"/>
                <w:szCs w:val="21"/>
                <w:u w:val="none"/>
                <w:lang w:val="en-US" w:eastAsia="zh-CN" w:bidi="ar"/>
              </w:rPr>
              <w:t>2013</w:t>
            </w:r>
          </w:p>
        </w:tc>
        <w:tc>
          <w:tcPr>
            <w:tcW w:w="1020" w:type="dxa"/>
            <w:tcBorders>
              <w:top w:val="single" w:color="000000" w:sz="4" w:space="0"/>
              <w:left w:val="single" w:color="000000" w:sz="4" w:space="0"/>
              <w:bottom w:val="single" w:color="000000" w:sz="4" w:space="0"/>
              <w:right w:val="single" w:color="000000" w:sz="4" w:space="0"/>
            </w:tcBorders>
            <w:shd w:val="clear" w:color="CFCECE" w:themeColor="background2" w:themeShade="E5" w:fill="FEF2CB" w:themeFill="accent3" w:themeFillTint="32"/>
            <w:vAlign w:val="center"/>
          </w:tcPr>
          <w:p>
            <w:pPr>
              <w:jc w:val="center"/>
              <w:rPr>
                <w:rFonts w:hint="eastAsia" w:ascii="宋体" w:hAnsi="宋体" w:eastAsia="宋体" w:cs="宋体"/>
                <w:b/>
                <w:bCs/>
                <w:i w:val="0"/>
                <w:iCs w:val="0"/>
                <w:color w:val="000000"/>
                <w:sz w:val="21"/>
                <w:szCs w:val="21"/>
                <w:u w:val="none"/>
              </w:rPr>
            </w:pPr>
          </w:p>
        </w:tc>
        <w:tc>
          <w:tcPr>
            <w:tcW w:w="1020" w:type="dxa"/>
            <w:tcBorders>
              <w:top w:val="single" w:color="000000" w:sz="4" w:space="0"/>
              <w:left w:val="single" w:color="000000" w:sz="4" w:space="0"/>
              <w:bottom w:val="single" w:color="000000" w:sz="4" w:space="0"/>
              <w:right w:val="single" w:color="000000" w:sz="4" w:space="0"/>
            </w:tcBorders>
            <w:shd w:val="clear" w:color="CFCECE" w:themeColor="background2" w:themeShade="E5" w:fill="FEF2CB" w:themeFill="accent3" w:themeFillTint="3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CFCECE" w:themeColor="background2" w:themeShade="E5" w:fill="FEF2CB" w:themeFill="accent3" w:themeFillTint="3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CFCECE" w:themeColor="background2" w:themeShade="E5" w:fill="F4B382" w:themeFill="accent2" w:themeFillTint="99"/>
            <w:noWrap/>
            <w:vAlign w:val="center"/>
          </w:tcPr>
          <w:p>
            <w:pPr>
              <w:keepNext w:val="0"/>
              <w:keepLines w:val="0"/>
              <w:widowControl/>
              <w:suppressLineNumbers w:val="0"/>
              <w:jc w:val="center"/>
              <w:textAlignment w:val="center"/>
              <w:rPr>
                <w:rFonts w:hint="eastAsia" w:ascii="宋体" w:hAnsi="宋体" w:eastAsia="宋体" w:cs="宋体"/>
                <w:i w:val="0"/>
                <w:iCs w:val="0"/>
                <w:color w:val="C00000"/>
                <w:sz w:val="21"/>
                <w:szCs w:val="21"/>
                <w:u w:val="none"/>
              </w:rPr>
            </w:pPr>
            <w:r>
              <w:rPr>
                <w:rFonts w:hint="eastAsia" w:ascii="宋体" w:hAnsi="宋体" w:eastAsia="宋体" w:cs="宋体"/>
                <w:b/>
                <w:bCs/>
                <w:i w:val="0"/>
                <w:iCs w:val="0"/>
                <w:color w:val="C00000"/>
                <w:kern w:val="0"/>
                <w:sz w:val="21"/>
                <w:szCs w:val="21"/>
                <w:u w:val="none"/>
                <w:lang w:val="en-US" w:eastAsia="zh-CN" w:bidi="ar"/>
              </w:rPr>
              <w:t>2014</w:t>
            </w:r>
          </w:p>
        </w:tc>
        <w:tc>
          <w:tcPr>
            <w:tcW w:w="1020" w:type="dxa"/>
            <w:tcBorders>
              <w:top w:val="single" w:color="000000" w:sz="4" w:space="0"/>
              <w:left w:val="single" w:color="000000" w:sz="4" w:space="0"/>
              <w:bottom w:val="single" w:color="000000" w:sz="4" w:space="0"/>
              <w:right w:val="single" w:color="000000" w:sz="4" w:space="0"/>
            </w:tcBorders>
            <w:shd w:val="clear" w:color="CFCECE" w:themeColor="background2" w:themeShade="E5" w:fill="F4B382" w:themeFill="accent2" w:themeFillTint="99"/>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CFCECE" w:themeColor="background2" w:themeShade="E5" w:fill="F4B382" w:themeFill="accent2" w:themeFillTint="99"/>
            <w:vAlign w:val="center"/>
          </w:tcPr>
          <w:p>
            <w:pPr>
              <w:jc w:val="center"/>
              <w:rPr>
                <w:rFonts w:hint="eastAsia" w:ascii="宋体" w:hAnsi="宋体" w:eastAsia="宋体" w:cs="宋体"/>
                <w:b/>
                <w:bCs/>
                <w:i w:val="0"/>
                <w:iCs w:val="0"/>
                <w:color w:val="000000"/>
                <w:sz w:val="21"/>
                <w:szCs w:val="21"/>
                <w:u w:val="none"/>
              </w:rPr>
            </w:pPr>
          </w:p>
        </w:tc>
        <w:tc>
          <w:tcPr>
            <w:tcW w:w="1020" w:type="dxa"/>
            <w:tcBorders>
              <w:top w:val="single" w:color="000000" w:sz="4" w:space="0"/>
              <w:left w:val="single" w:color="000000" w:sz="4" w:space="0"/>
              <w:bottom w:val="single" w:color="000000" w:sz="4" w:space="0"/>
              <w:right w:val="single" w:color="000000" w:sz="4" w:space="0"/>
            </w:tcBorders>
            <w:shd w:val="clear" w:color="CFCECE" w:themeColor="background2" w:themeShade="E5" w:fill="F4B382" w:themeFill="accent2" w:themeFillTint="99"/>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CFCECE" w:themeColor="background2" w:themeShade="E5" w:fill="FEF2CB" w:themeFill="accent3" w:themeFillTint="32"/>
            <w:noWrap/>
            <w:vAlign w:val="center"/>
          </w:tcPr>
          <w:p>
            <w:pPr>
              <w:keepNext w:val="0"/>
              <w:keepLines w:val="0"/>
              <w:widowControl/>
              <w:suppressLineNumbers w:val="0"/>
              <w:jc w:val="center"/>
              <w:textAlignment w:val="center"/>
              <w:rPr>
                <w:rFonts w:hint="eastAsia" w:ascii="宋体" w:hAnsi="宋体" w:eastAsia="宋体" w:cs="宋体"/>
                <w:i w:val="0"/>
                <w:iCs w:val="0"/>
                <w:color w:val="C00000"/>
                <w:sz w:val="21"/>
                <w:szCs w:val="21"/>
                <w:u w:val="none"/>
              </w:rPr>
            </w:pPr>
            <w:r>
              <w:rPr>
                <w:rFonts w:hint="eastAsia" w:ascii="宋体" w:hAnsi="宋体" w:eastAsia="宋体" w:cs="宋体"/>
                <w:i w:val="0"/>
                <w:iCs w:val="0"/>
                <w:color w:val="C00000"/>
                <w:kern w:val="0"/>
                <w:sz w:val="21"/>
                <w:szCs w:val="21"/>
                <w:u w:val="none"/>
                <w:lang w:val="en-US" w:eastAsia="zh-CN" w:bidi="ar"/>
              </w:rPr>
              <w:t>2015</w:t>
            </w:r>
          </w:p>
        </w:tc>
        <w:tc>
          <w:tcPr>
            <w:tcW w:w="3060" w:type="dxa"/>
            <w:gridSpan w:val="3"/>
            <w:tcBorders>
              <w:top w:val="single" w:color="000000" w:sz="4" w:space="0"/>
              <w:left w:val="single" w:color="000000" w:sz="4" w:space="0"/>
              <w:bottom w:val="single" w:color="000000" w:sz="4" w:space="0"/>
              <w:right w:val="single" w:color="000000" w:sz="4" w:space="0"/>
            </w:tcBorders>
            <w:shd w:val="clear" w:color="CFCECE" w:themeColor="background2" w:themeShade="E5" w:fill="FEF2CB" w:themeFill="accent3" w:themeFillTint="3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27"/>
                <w:rFonts w:hint="eastAsia" w:ascii="宋体" w:hAnsi="宋体" w:eastAsia="宋体" w:cs="宋体"/>
                <w:b/>
                <w:bCs/>
                <w:sz w:val="21"/>
                <w:szCs w:val="21"/>
                <w:lang w:val="en-US" w:eastAsia="zh-CN" w:bidi="ar"/>
              </w:rPr>
              <w:t>休赛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CFCECE" w:themeColor="background2" w:themeShade="E5" w:fill="F4B382" w:themeFill="accent2" w:themeFillTint="99"/>
            <w:noWrap/>
            <w:vAlign w:val="center"/>
          </w:tcPr>
          <w:p>
            <w:pPr>
              <w:keepNext w:val="0"/>
              <w:keepLines w:val="0"/>
              <w:widowControl/>
              <w:suppressLineNumbers w:val="0"/>
              <w:jc w:val="center"/>
              <w:textAlignment w:val="center"/>
              <w:rPr>
                <w:rFonts w:hint="eastAsia" w:ascii="宋体" w:hAnsi="宋体" w:eastAsia="宋体" w:cs="宋体"/>
                <w:i w:val="0"/>
                <w:iCs w:val="0"/>
                <w:color w:val="C00000"/>
                <w:sz w:val="21"/>
                <w:szCs w:val="21"/>
                <w:u w:val="none"/>
              </w:rPr>
            </w:pPr>
            <w:r>
              <w:rPr>
                <w:rFonts w:hint="eastAsia" w:ascii="宋体" w:hAnsi="宋体" w:eastAsia="宋体" w:cs="宋体"/>
                <w:b/>
                <w:bCs/>
                <w:i w:val="0"/>
                <w:iCs w:val="0"/>
                <w:color w:val="C00000"/>
                <w:kern w:val="0"/>
                <w:sz w:val="21"/>
                <w:szCs w:val="21"/>
                <w:u w:val="none"/>
                <w:lang w:val="en-US" w:eastAsia="zh-CN" w:bidi="ar"/>
              </w:rPr>
              <w:t>2016</w:t>
            </w:r>
          </w:p>
        </w:tc>
        <w:tc>
          <w:tcPr>
            <w:tcW w:w="1020" w:type="dxa"/>
            <w:tcBorders>
              <w:top w:val="single" w:color="000000" w:sz="4" w:space="0"/>
              <w:left w:val="single" w:color="000000" w:sz="4" w:space="0"/>
              <w:bottom w:val="single" w:color="000000" w:sz="4" w:space="0"/>
              <w:right w:val="single" w:color="000000" w:sz="4" w:space="0"/>
            </w:tcBorders>
            <w:shd w:val="clear" w:color="CFCECE" w:themeColor="background2" w:themeShade="E5" w:fill="F4B382" w:themeFill="accent2" w:themeFillTint="99"/>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CFCECE" w:themeColor="background2" w:themeShade="E5" w:fill="F4B382" w:themeFill="accent2" w:themeFillTint="99"/>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CFCECE" w:themeColor="background2" w:themeShade="E5" w:fill="F4B382" w:themeFill="accent2" w:themeFillTint="99"/>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CFCECE" w:themeColor="background2" w:themeShade="E5" w:fill="FEF2CB" w:themeFill="accent3" w:themeFillTint="32"/>
            <w:noWrap/>
            <w:vAlign w:val="center"/>
          </w:tcPr>
          <w:p>
            <w:pPr>
              <w:keepNext w:val="0"/>
              <w:keepLines w:val="0"/>
              <w:widowControl/>
              <w:suppressLineNumbers w:val="0"/>
              <w:jc w:val="center"/>
              <w:textAlignment w:val="center"/>
              <w:rPr>
                <w:rFonts w:hint="eastAsia" w:ascii="宋体" w:hAnsi="宋体" w:eastAsia="宋体" w:cs="宋体"/>
                <w:i w:val="0"/>
                <w:iCs w:val="0"/>
                <w:color w:val="C00000"/>
                <w:sz w:val="21"/>
                <w:szCs w:val="21"/>
                <w:u w:val="none"/>
              </w:rPr>
            </w:pPr>
            <w:r>
              <w:rPr>
                <w:rFonts w:hint="eastAsia" w:ascii="宋体" w:hAnsi="宋体" w:eastAsia="宋体" w:cs="宋体"/>
                <w:b/>
                <w:bCs/>
                <w:i w:val="0"/>
                <w:iCs w:val="0"/>
                <w:color w:val="C00000"/>
                <w:kern w:val="0"/>
                <w:sz w:val="21"/>
                <w:szCs w:val="21"/>
                <w:u w:val="none"/>
                <w:lang w:val="en-US" w:eastAsia="zh-CN" w:bidi="ar"/>
              </w:rPr>
              <w:t>2017</w:t>
            </w:r>
          </w:p>
        </w:tc>
        <w:tc>
          <w:tcPr>
            <w:tcW w:w="1020" w:type="dxa"/>
            <w:tcBorders>
              <w:top w:val="single" w:color="000000" w:sz="4" w:space="0"/>
              <w:left w:val="single" w:color="000000" w:sz="4" w:space="0"/>
              <w:bottom w:val="single" w:color="000000" w:sz="4" w:space="0"/>
              <w:right w:val="single" w:color="000000" w:sz="4" w:space="0"/>
            </w:tcBorders>
            <w:shd w:val="clear" w:color="CFCECE" w:themeColor="background2" w:themeShade="E5" w:fill="FEF2CB" w:themeFill="accent3" w:themeFillTint="3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CFCECE" w:themeColor="background2" w:themeShade="E5" w:fill="FEF2CB" w:themeFill="accent3" w:themeFillTint="32"/>
            <w:vAlign w:val="center"/>
          </w:tcPr>
          <w:p>
            <w:pPr>
              <w:jc w:val="center"/>
              <w:rPr>
                <w:rFonts w:hint="eastAsia" w:ascii="宋体" w:hAnsi="宋体" w:eastAsia="宋体" w:cs="宋体"/>
                <w:b/>
                <w:bCs/>
                <w:i w:val="0"/>
                <w:iCs w:val="0"/>
                <w:color w:val="000000"/>
                <w:sz w:val="21"/>
                <w:szCs w:val="21"/>
                <w:u w:val="none"/>
              </w:rPr>
            </w:pPr>
          </w:p>
        </w:tc>
        <w:tc>
          <w:tcPr>
            <w:tcW w:w="1020" w:type="dxa"/>
            <w:tcBorders>
              <w:top w:val="single" w:color="000000" w:sz="4" w:space="0"/>
              <w:left w:val="single" w:color="000000" w:sz="4" w:space="0"/>
              <w:bottom w:val="single" w:color="000000" w:sz="4" w:space="0"/>
              <w:right w:val="single" w:color="000000" w:sz="4" w:space="0"/>
            </w:tcBorders>
            <w:shd w:val="clear" w:color="CFCECE" w:themeColor="background2" w:themeShade="E5" w:fill="FEF2CB" w:themeFill="accent3" w:themeFillTint="32"/>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CFCECE" w:themeColor="background2" w:themeShade="E5" w:fill="F4B382" w:themeFill="accent2" w:themeFillTint="99"/>
            <w:noWrap/>
            <w:vAlign w:val="center"/>
          </w:tcPr>
          <w:p>
            <w:pPr>
              <w:keepNext w:val="0"/>
              <w:keepLines w:val="0"/>
              <w:widowControl/>
              <w:suppressLineNumbers w:val="0"/>
              <w:jc w:val="center"/>
              <w:textAlignment w:val="center"/>
              <w:rPr>
                <w:rFonts w:hint="eastAsia" w:ascii="宋体" w:hAnsi="宋体" w:eastAsia="宋体" w:cs="宋体"/>
                <w:i w:val="0"/>
                <w:iCs w:val="0"/>
                <w:color w:val="C00000"/>
                <w:sz w:val="21"/>
                <w:szCs w:val="21"/>
                <w:u w:val="none"/>
              </w:rPr>
            </w:pPr>
            <w:r>
              <w:rPr>
                <w:rFonts w:hint="eastAsia" w:ascii="宋体" w:hAnsi="宋体" w:eastAsia="宋体" w:cs="宋体"/>
                <w:b/>
                <w:bCs/>
                <w:i w:val="0"/>
                <w:iCs w:val="0"/>
                <w:color w:val="C00000"/>
                <w:kern w:val="0"/>
                <w:sz w:val="21"/>
                <w:szCs w:val="21"/>
                <w:u w:val="none"/>
                <w:lang w:val="en-US" w:eastAsia="zh-CN" w:bidi="ar"/>
              </w:rPr>
              <w:t>2018</w:t>
            </w:r>
          </w:p>
        </w:tc>
        <w:tc>
          <w:tcPr>
            <w:tcW w:w="1020" w:type="dxa"/>
            <w:tcBorders>
              <w:top w:val="single" w:color="000000" w:sz="4" w:space="0"/>
              <w:left w:val="single" w:color="000000" w:sz="4" w:space="0"/>
              <w:bottom w:val="single" w:color="000000" w:sz="4" w:space="0"/>
              <w:right w:val="single" w:color="000000" w:sz="4" w:space="0"/>
            </w:tcBorders>
            <w:shd w:val="clear" w:color="CFCECE" w:themeColor="background2" w:themeShade="E5" w:fill="F4B382" w:themeFill="accent2" w:themeFillTint="99"/>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CFCECE" w:themeColor="background2" w:themeShade="E5" w:fill="F4B382" w:themeFill="accent2" w:themeFillTint="99"/>
            <w:vAlign w:val="center"/>
          </w:tcPr>
          <w:p>
            <w:pPr>
              <w:jc w:val="center"/>
              <w:rPr>
                <w:rFonts w:hint="eastAsia" w:ascii="宋体" w:hAnsi="宋体" w:eastAsia="宋体" w:cs="宋体"/>
                <w:b/>
                <w:bCs/>
                <w:i w:val="0"/>
                <w:iCs w:val="0"/>
                <w:color w:val="000000"/>
                <w:sz w:val="21"/>
                <w:szCs w:val="21"/>
                <w:u w:val="none"/>
              </w:rPr>
            </w:pPr>
          </w:p>
        </w:tc>
        <w:tc>
          <w:tcPr>
            <w:tcW w:w="1020" w:type="dxa"/>
            <w:tcBorders>
              <w:top w:val="single" w:color="000000" w:sz="4" w:space="0"/>
              <w:left w:val="single" w:color="000000" w:sz="4" w:space="0"/>
              <w:bottom w:val="single" w:color="000000" w:sz="4" w:space="0"/>
              <w:right w:val="single" w:color="000000" w:sz="4" w:space="0"/>
            </w:tcBorders>
            <w:shd w:val="clear" w:color="CFCECE" w:themeColor="background2" w:themeShade="E5" w:fill="F4B382" w:themeFill="accent2" w:themeFillTint="99"/>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CFCECE" w:themeColor="background2" w:themeShade="E5" w:fill="FEF2CB" w:themeFill="accent3" w:themeFillTint="32"/>
            <w:noWrap/>
            <w:vAlign w:val="center"/>
          </w:tcPr>
          <w:p>
            <w:pPr>
              <w:keepNext w:val="0"/>
              <w:keepLines w:val="0"/>
              <w:widowControl/>
              <w:suppressLineNumbers w:val="0"/>
              <w:jc w:val="center"/>
              <w:textAlignment w:val="center"/>
              <w:rPr>
                <w:rFonts w:hint="eastAsia" w:ascii="宋体" w:hAnsi="宋体" w:eastAsia="宋体" w:cs="宋体"/>
                <w:i w:val="0"/>
                <w:iCs w:val="0"/>
                <w:color w:val="C00000"/>
                <w:sz w:val="21"/>
                <w:szCs w:val="21"/>
                <w:u w:val="none"/>
              </w:rPr>
            </w:pPr>
            <w:r>
              <w:rPr>
                <w:rFonts w:hint="eastAsia" w:ascii="宋体" w:hAnsi="宋体" w:eastAsia="宋体" w:cs="宋体"/>
                <w:b/>
                <w:bCs/>
                <w:i w:val="0"/>
                <w:iCs w:val="0"/>
                <w:color w:val="C00000"/>
                <w:kern w:val="0"/>
                <w:sz w:val="21"/>
                <w:szCs w:val="21"/>
                <w:u w:val="none"/>
                <w:lang w:val="en-US" w:eastAsia="zh-CN" w:bidi="ar"/>
              </w:rPr>
              <w:t>2019</w:t>
            </w:r>
          </w:p>
        </w:tc>
        <w:tc>
          <w:tcPr>
            <w:tcW w:w="1020" w:type="dxa"/>
            <w:tcBorders>
              <w:top w:val="single" w:color="000000" w:sz="4" w:space="0"/>
              <w:left w:val="single" w:color="000000" w:sz="4" w:space="0"/>
              <w:bottom w:val="single" w:color="000000" w:sz="4" w:space="0"/>
              <w:right w:val="single" w:color="000000" w:sz="4" w:space="0"/>
            </w:tcBorders>
            <w:shd w:val="clear" w:color="CFCECE" w:themeColor="background2" w:themeShade="E5" w:fill="FEF2CB" w:themeFill="accent3" w:themeFillTint="3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CFCECE" w:themeColor="background2" w:themeShade="E5" w:fill="FEF2CB" w:themeFill="accent3" w:themeFillTint="32"/>
            <w:vAlign w:val="center"/>
          </w:tcPr>
          <w:p>
            <w:pPr>
              <w:jc w:val="center"/>
              <w:rPr>
                <w:rFonts w:hint="eastAsia" w:ascii="宋体" w:hAnsi="宋体" w:eastAsia="宋体" w:cs="宋体"/>
                <w:b/>
                <w:bCs/>
                <w:i w:val="0"/>
                <w:iCs w:val="0"/>
                <w:color w:val="000000"/>
                <w:sz w:val="21"/>
                <w:szCs w:val="21"/>
                <w:u w:val="none"/>
              </w:rPr>
            </w:pPr>
          </w:p>
        </w:tc>
        <w:tc>
          <w:tcPr>
            <w:tcW w:w="1020" w:type="dxa"/>
            <w:tcBorders>
              <w:top w:val="single" w:color="000000" w:sz="4" w:space="0"/>
              <w:left w:val="single" w:color="000000" w:sz="4" w:space="0"/>
              <w:bottom w:val="single" w:color="000000" w:sz="4" w:space="0"/>
              <w:right w:val="single" w:color="000000" w:sz="4" w:space="0"/>
            </w:tcBorders>
            <w:shd w:val="clear" w:color="CFCECE" w:themeColor="background2" w:themeShade="E5" w:fill="FEF2CB" w:themeFill="accent3" w:themeFillTint="32"/>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CFCECE" w:themeColor="background2" w:themeShade="E5" w:fill="F4B382" w:themeFill="accent2" w:themeFillTint="99"/>
            <w:noWrap/>
            <w:vAlign w:val="center"/>
          </w:tcPr>
          <w:p>
            <w:pPr>
              <w:keepNext w:val="0"/>
              <w:keepLines w:val="0"/>
              <w:widowControl/>
              <w:suppressLineNumbers w:val="0"/>
              <w:jc w:val="center"/>
              <w:textAlignment w:val="center"/>
              <w:rPr>
                <w:rFonts w:hint="eastAsia" w:ascii="宋体" w:hAnsi="宋体" w:eastAsia="宋体" w:cs="宋体"/>
                <w:i w:val="0"/>
                <w:iCs w:val="0"/>
                <w:color w:val="C00000"/>
                <w:sz w:val="21"/>
                <w:szCs w:val="21"/>
                <w:u w:val="none"/>
              </w:rPr>
            </w:pPr>
            <w:r>
              <w:rPr>
                <w:rFonts w:hint="eastAsia" w:ascii="宋体" w:hAnsi="宋体" w:eastAsia="宋体" w:cs="宋体"/>
                <w:b/>
                <w:bCs/>
                <w:i w:val="0"/>
                <w:iCs w:val="0"/>
                <w:color w:val="C00000"/>
                <w:kern w:val="0"/>
                <w:sz w:val="21"/>
                <w:szCs w:val="21"/>
                <w:u w:val="none"/>
                <w:lang w:val="en-US" w:eastAsia="zh-CN" w:bidi="ar"/>
              </w:rPr>
              <w:t>2020</w:t>
            </w:r>
          </w:p>
        </w:tc>
        <w:tc>
          <w:tcPr>
            <w:tcW w:w="1020" w:type="dxa"/>
            <w:tcBorders>
              <w:top w:val="single" w:color="000000" w:sz="4" w:space="0"/>
              <w:left w:val="single" w:color="000000" w:sz="4" w:space="0"/>
              <w:bottom w:val="single" w:color="000000" w:sz="4" w:space="0"/>
              <w:right w:val="single" w:color="000000" w:sz="4" w:space="0"/>
            </w:tcBorders>
            <w:shd w:val="clear" w:color="CFCECE" w:themeColor="background2" w:themeShade="E5" w:fill="F4B382" w:themeFill="accent2" w:themeFillTint="99"/>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CFCECE" w:themeColor="background2" w:themeShade="E5" w:fill="F4B382" w:themeFill="accent2" w:themeFillTint="99"/>
            <w:vAlign w:val="center"/>
          </w:tcPr>
          <w:p>
            <w:pPr>
              <w:jc w:val="center"/>
              <w:rPr>
                <w:rFonts w:hint="eastAsia" w:ascii="宋体" w:hAnsi="宋体" w:eastAsia="宋体" w:cs="宋体"/>
                <w:b/>
                <w:bCs/>
                <w:i w:val="0"/>
                <w:iCs w:val="0"/>
                <w:color w:val="000000"/>
                <w:sz w:val="21"/>
                <w:szCs w:val="21"/>
                <w:u w:val="none"/>
              </w:rPr>
            </w:pPr>
          </w:p>
        </w:tc>
        <w:tc>
          <w:tcPr>
            <w:tcW w:w="1020" w:type="dxa"/>
            <w:tcBorders>
              <w:top w:val="single" w:color="000000" w:sz="4" w:space="0"/>
              <w:left w:val="single" w:color="000000" w:sz="4" w:space="0"/>
              <w:bottom w:val="single" w:color="000000" w:sz="4" w:space="0"/>
              <w:right w:val="single" w:color="000000" w:sz="4" w:space="0"/>
            </w:tcBorders>
            <w:shd w:val="clear" w:color="CFCECE" w:themeColor="background2" w:themeShade="E5" w:fill="F4B382" w:themeFill="accent2" w:themeFillTint="99"/>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CFCECE" w:themeColor="background2" w:themeShade="E5" w:fill="FEF2CB" w:themeFill="accent3" w:themeFillTint="32"/>
            <w:noWrap/>
            <w:vAlign w:val="center"/>
          </w:tcPr>
          <w:p>
            <w:pPr>
              <w:keepNext w:val="0"/>
              <w:keepLines w:val="0"/>
              <w:widowControl/>
              <w:suppressLineNumbers w:val="0"/>
              <w:jc w:val="center"/>
              <w:textAlignment w:val="center"/>
              <w:rPr>
                <w:rFonts w:hint="eastAsia" w:ascii="宋体" w:hAnsi="宋体" w:eastAsia="宋体" w:cs="宋体"/>
                <w:i w:val="0"/>
                <w:iCs w:val="0"/>
                <w:color w:val="C00000"/>
                <w:sz w:val="21"/>
                <w:szCs w:val="21"/>
                <w:u w:val="none"/>
              </w:rPr>
            </w:pPr>
            <w:r>
              <w:rPr>
                <w:rFonts w:hint="eastAsia" w:ascii="宋体" w:hAnsi="宋体" w:eastAsia="宋体" w:cs="宋体"/>
                <w:i w:val="0"/>
                <w:iCs w:val="0"/>
                <w:color w:val="C00000"/>
                <w:kern w:val="0"/>
                <w:sz w:val="21"/>
                <w:szCs w:val="21"/>
                <w:u w:val="none"/>
                <w:lang w:val="en-US" w:eastAsia="zh-CN" w:bidi="ar"/>
              </w:rPr>
              <w:t>2021</w:t>
            </w:r>
          </w:p>
        </w:tc>
        <w:tc>
          <w:tcPr>
            <w:tcW w:w="3060" w:type="dxa"/>
            <w:gridSpan w:val="3"/>
            <w:tcBorders>
              <w:top w:val="single" w:color="000000" w:sz="4" w:space="0"/>
              <w:left w:val="single" w:color="000000" w:sz="4" w:space="0"/>
              <w:bottom w:val="single" w:color="000000" w:sz="4" w:space="0"/>
              <w:right w:val="single" w:color="000000" w:sz="4" w:space="0"/>
            </w:tcBorders>
            <w:shd w:val="clear" w:color="CFCECE" w:themeColor="background2" w:themeShade="E5" w:fill="FEF2CB" w:themeFill="accent3" w:themeFillTint="3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27"/>
                <w:rFonts w:hint="eastAsia" w:ascii="宋体" w:hAnsi="宋体" w:eastAsia="宋体" w:cs="宋体"/>
                <w:b/>
                <w:bCs/>
                <w:sz w:val="21"/>
                <w:szCs w:val="21"/>
                <w:lang w:val="en-US" w:eastAsia="zh-CN" w:bidi="ar"/>
              </w:rPr>
              <w:t>休赛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CFCECE" w:themeColor="background2" w:themeShade="E5" w:fill="F4B382" w:themeFill="accent2" w:themeFillTint="99"/>
            <w:noWrap/>
            <w:vAlign w:val="center"/>
          </w:tcPr>
          <w:p>
            <w:pPr>
              <w:keepNext w:val="0"/>
              <w:keepLines w:val="0"/>
              <w:widowControl/>
              <w:suppressLineNumbers w:val="0"/>
              <w:jc w:val="center"/>
              <w:textAlignment w:val="center"/>
              <w:rPr>
                <w:rFonts w:hint="eastAsia" w:ascii="宋体" w:hAnsi="宋体" w:eastAsia="宋体" w:cs="宋体"/>
                <w:i w:val="0"/>
                <w:iCs w:val="0"/>
                <w:color w:val="C00000"/>
                <w:sz w:val="21"/>
                <w:szCs w:val="21"/>
                <w:u w:val="none"/>
              </w:rPr>
            </w:pPr>
            <w:r>
              <w:rPr>
                <w:rFonts w:hint="eastAsia" w:ascii="宋体" w:hAnsi="宋体" w:eastAsia="宋体" w:cs="宋体"/>
                <w:i w:val="0"/>
                <w:iCs w:val="0"/>
                <w:color w:val="C00000"/>
                <w:kern w:val="0"/>
                <w:sz w:val="21"/>
                <w:szCs w:val="21"/>
                <w:u w:val="none"/>
                <w:lang w:val="en-US" w:eastAsia="zh-CN" w:bidi="ar"/>
              </w:rPr>
              <w:t>2022</w:t>
            </w:r>
          </w:p>
        </w:tc>
        <w:tc>
          <w:tcPr>
            <w:tcW w:w="3060" w:type="dxa"/>
            <w:gridSpan w:val="3"/>
            <w:tcBorders>
              <w:top w:val="single" w:color="000000" w:sz="4" w:space="0"/>
              <w:left w:val="single" w:color="000000" w:sz="4" w:space="0"/>
              <w:bottom w:val="single" w:color="000000" w:sz="4" w:space="0"/>
              <w:right w:val="single" w:color="000000" w:sz="4" w:space="0"/>
            </w:tcBorders>
            <w:shd w:val="clear" w:color="CFCECE" w:themeColor="background2" w:themeShade="E5" w:fill="F4B382" w:themeFill="accent2" w:themeFillTint="99"/>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Style w:val="27"/>
                <w:rFonts w:hint="eastAsia" w:ascii="宋体" w:hAnsi="宋体" w:eastAsia="宋体" w:cs="宋体"/>
                <w:b/>
                <w:bCs/>
                <w:sz w:val="21"/>
                <w:szCs w:val="21"/>
                <w:lang w:val="en-US" w:eastAsia="zh-CN" w:bidi="ar"/>
              </w:rPr>
              <w:t>休赛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CFCECE" w:themeColor="background2" w:themeShade="E5" w:fill="FEF2CB" w:themeFill="accent3" w:themeFillTint="32"/>
            <w:noWrap/>
            <w:vAlign w:val="center"/>
          </w:tcPr>
          <w:p>
            <w:pPr>
              <w:keepNext w:val="0"/>
              <w:keepLines w:val="0"/>
              <w:widowControl/>
              <w:suppressLineNumbers w:val="0"/>
              <w:jc w:val="center"/>
              <w:textAlignment w:val="center"/>
              <w:rPr>
                <w:rFonts w:hint="eastAsia" w:ascii="宋体" w:hAnsi="宋体" w:eastAsia="宋体" w:cs="宋体"/>
                <w:i w:val="0"/>
                <w:iCs w:val="0"/>
                <w:color w:val="C00000"/>
                <w:sz w:val="21"/>
                <w:szCs w:val="21"/>
                <w:u w:val="none"/>
              </w:rPr>
            </w:pPr>
            <w:r>
              <w:rPr>
                <w:rFonts w:hint="eastAsia" w:ascii="宋体" w:hAnsi="宋体" w:eastAsia="宋体" w:cs="宋体"/>
                <w:b/>
                <w:bCs/>
                <w:i w:val="0"/>
                <w:iCs w:val="0"/>
                <w:color w:val="C00000"/>
                <w:kern w:val="0"/>
                <w:sz w:val="21"/>
                <w:szCs w:val="21"/>
                <w:u w:val="none"/>
                <w:lang w:val="en-US" w:eastAsia="zh-CN" w:bidi="ar"/>
              </w:rPr>
              <w:t>2023</w:t>
            </w:r>
          </w:p>
        </w:tc>
        <w:tc>
          <w:tcPr>
            <w:tcW w:w="1020" w:type="dxa"/>
            <w:tcBorders>
              <w:top w:val="single" w:color="000000" w:sz="4" w:space="0"/>
              <w:left w:val="single" w:color="000000" w:sz="4" w:space="0"/>
              <w:bottom w:val="single" w:color="000000" w:sz="4" w:space="0"/>
              <w:right w:val="single" w:color="000000" w:sz="4" w:space="0"/>
            </w:tcBorders>
            <w:shd w:val="clear" w:color="CFCECE" w:themeColor="background2" w:themeShade="E5" w:fill="FEF2CB" w:themeFill="accent3" w:themeFillTint="3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CFCECE" w:themeColor="background2" w:themeShade="E5" w:fill="FEF2CB" w:themeFill="accent3" w:themeFillTint="32"/>
            <w:vAlign w:val="center"/>
          </w:tcPr>
          <w:p>
            <w:pPr>
              <w:jc w:val="center"/>
              <w:rPr>
                <w:rFonts w:hint="eastAsia" w:ascii="宋体" w:hAnsi="宋体" w:eastAsia="宋体" w:cs="宋体"/>
                <w:b/>
                <w:bCs/>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CFCECE" w:themeColor="background2" w:themeShade="E5" w:fill="FEF2CB" w:themeFill="accent3" w:themeFillTint="32"/>
            <w:noWrap/>
            <w:vAlign w:val="center"/>
          </w:tcPr>
          <w:p>
            <w:pPr>
              <w:jc w:val="center"/>
              <w:rPr>
                <w:rFonts w:hint="eastAsia" w:ascii="宋体" w:hAnsi="宋体" w:eastAsia="宋体" w:cs="宋体"/>
                <w:b/>
                <w:bCs/>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CFCECE" w:themeColor="background2" w:themeShade="E5" w:fill="F4B7BE" w:themeFill="accent6" w:themeFillTint="66"/>
            <w:noWrap/>
            <w:vAlign w:val="center"/>
          </w:tcPr>
          <w:p>
            <w:pPr>
              <w:keepNext w:val="0"/>
              <w:keepLines w:val="0"/>
              <w:widowControl/>
              <w:suppressLineNumbers w:val="0"/>
              <w:jc w:val="center"/>
              <w:textAlignment w:val="center"/>
              <w:rPr>
                <w:rFonts w:hint="eastAsia" w:ascii="宋体" w:hAnsi="宋体" w:eastAsia="宋体" w:cs="宋体"/>
                <w:i w:val="0"/>
                <w:iCs w:val="0"/>
                <w:color w:val="C00000"/>
                <w:sz w:val="21"/>
                <w:szCs w:val="21"/>
                <w:u w:val="none"/>
              </w:rPr>
            </w:pPr>
            <w:r>
              <w:rPr>
                <w:rFonts w:hint="eastAsia" w:ascii="宋体" w:hAnsi="宋体" w:eastAsia="宋体" w:cs="宋体"/>
                <w:b/>
                <w:bCs/>
                <w:i w:val="0"/>
                <w:iCs w:val="0"/>
                <w:color w:val="C00000"/>
                <w:kern w:val="0"/>
                <w:sz w:val="21"/>
                <w:szCs w:val="21"/>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CFCECE" w:themeColor="background2" w:themeShade="E5" w:fill="F4B7BE" w:themeFill="accent6" w:themeFillTint="66"/>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CFCECE" w:themeColor="background2" w:themeShade="E5" w:fill="F4B7BE" w:themeFill="accent6" w:themeFillTint="66"/>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CFCECE" w:themeColor="background2" w:themeShade="E5" w:fill="F4B7BE" w:themeFill="accent6" w:themeFillTint="66"/>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w:t>
            </w:r>
          </w:p>
        </w:tc>
      </w:tr>
    </w:tbl>
    <w:p>
      <w:pPr>
        <w:rPr>
          <w:rFonts w:hint="eastAsia" w:ascii="宋体" w:hAnsi="宋体" w:eastAsia="宋体" w:cs="宋体"/>
          <w:b/>
          <w:bCs/>
          <w:color w:val="A20000"/>
          <w:sz w:val="32"/>
          <w:szCs w:val="32"/>
          <w:highlight w:val="none"/>
        </w:rPr>
      </w:pPr>
      <w:r>
        <w:rPr>
          <w:rFonts w:hint="eastAsia" w:ascii="宋体" w:hAnsi="宋体" w:eastAsia="宋体" w:cs="宋体"/>
          <w:lang w:val="en-US" w:eastAsia="zh-CN"/>
        </w:rPr>
        <w:t>数据来源：山东省莱阳卫生学校教务处</w:t>
      </w:r>
    </w:p>
    <w:p>
      <w:pPr>
        <w:spacing w:after="120"/>
        <w:ind w:firstLine="480" w:firstLineChars="200"/>
        <w:jc w:val="center"/>
        <w:rPr>
          <w:rFonts w:hint="eastAsia" w:ascii="宋体" w:hAnsi="宋体" w:eastAsia="宋体" w:cs="宋体"/>
          <w:color w:val="000000"/>
          <w:kern w:val="0"/>
          <w:sz w:val="24"/>
          <w:lang w:bidi="ar"/>
        </w:rPr>
      </w:pPr>
    </w:p>
    <w:p>
      <w:pPr>
        <w:keepNext/>
        <w:keepLines/>
        <w:pageBreakBefore w:val="0"/>
        <w:widowControl w:val="0"/>
        <w:kinsoku/>
        <w:wordWrap/>
        <w:overflowPunct/>
        <w:topLinePunct w:val="0"/>
        <w:autoSpaceDE/>
        <w:autoSpaceDN/>
        <w:bidi w:val="0"/>
        <w:adjustRightInd/>
        <w:snapToGrid/>
        <w:spacing w:before="156" w:beforeLines="50" w:after="156" w:afterLines="50"/>
        <w:ind w:firstLine="0" w:firstLineChars="0"/>
        <w:jc w:val="center"/>
        <w:textAlignment w:val="auto"/>
        <w:outlineLvl w:val="9"/>
        <w:rPr>
          <w:rFonts w:ascii="宋体" w:hAnsi="宋体" w:eastAsia="宋体" w:cs="宋体"/>
          <w:sz w:val="24"/>
          <w:szCs w:val="24"/>
        </w:rPr>
      </w:pPr>
      <w:r>
        <w:rPr>
          <w:rFonts w:ascii="宋体" w:hAnsi="宋体" w:eastAsia="宋体" w:cs="宋体"/>
          <w:sz w:val="24"/>
          <w:szCs w:val="24"/>
        </w:rPr>
        <w:drawing>
          <wp:inline distT="0" distB="0" distL="114300" distR="114300">
            <wp:extent cx="5579745" cy="3508375"/>
            <wp:effectExtent l="0" t="0" r="1905" b="15875"/>
            <wp:docPr id="32"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8" descr="IMG_256"/>
                    <pic:cNvPicPr>
                      <a:picLocks noChangeAspect="1"/>
                    </pic:cNvPicPr>
                  </pic:nvPicPr>
                  <pic:blipFill>
                    <a:blip r:embed="rId19"/>
                    <a:stretch>
                      <a:fillRect/>
                    </a:stretch>
                  </pic:blipFill>
                  <pic:spPr>
                    <a:xfrm>
                      <a:off x="0" y="0"/>
                      <a:ext cx="5579745" cy="3508375"/>
                    </a:xfrm>
                    <a:prstGeom prst="rect">
                      <a:avLst/>
                    </a:prstGeom>
                    <a:noFill/>
                    <a:ln w="9525">
                      <a:noFill/>
                    </a:ln>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黑体" w:hAnsi="黑体" w:eastAsia="黑体" w:cs="黑体"/>
          <w:color w:val="9D0300"/>
          <w:sz w:val="28"/>
          <w:szCs w:val="28"/>
          <w:highlight w:val="none"/>
          <w:lang w:val="en-US" w:eastAsia="zh-CN"/>
        </w:rPr>
      </w:pPr>
      <w:bookmarkStart w:id="50" w:name="_Toc243"/>
      <w:r>
        <w:rPr>
          <w:rFonts w:hint="eastAsia" w:ascii="黑体" w:hAnsi="黑体" w:eastAsia="黑体" w:cs="黑体"/>
          <w:color w:val="9D0300"/>
          <w:sz w:val="28"/>
          <w:szCs w:val="28"/>
          <w:highlight w:val="none"/>
          <w:lang w:val="en-US" w:eastAsia="zh-CN"/>
        </w:rPr>
        <w:t xml:space="preserve">图 </w:t>
      </w:r>
      <w:r>
        <w:rPr>
          <w:rFonts w:hint="eastAsia" w:ascii="黑体" w:hAnsi="黑体" w:eastAsia="黑体" w:cs="黑体"/>
          <w:color w:val="9D0300"/>
          <w:sz w:val="28"/>
          <w:szCs w:val="28"/>
          <w:highlight w:val="none"/>
          <w:lang w:val="en-US" w:eastAsia="zh-CN"/>
        </w:rPr>
        <w:fldChar w:fldCharType="begin"/>
      </w:r>
      <w:r>
        <w:rPr>
          <w:rFonts w:hint="eastAsia" w:ascii="黑体" w:hAnsi="黑体" w:eastAsia="黑体" w:cs="黑体"/>
          <w:color w:val="9D0300"/>
          <w:sz w:val="28"/>
          <w:szCs w:val="28"/>
          <w:highlight w:val="none"/>
          <w:lang w:val="en-US" w:eastAsia="zh-CN"/>
        </w:rPr>
        <w:instrText xml:space="preserve"> SEQ 图 \* ARABIC </w:instrText>
      </w:r>
      <w:r>
        <w:rPr>
          <w:rFonts w:hint="eastAsia" w:ascii="黑体" w:hAnsi="黑体" w:eastAsia="黑体" w:cs="黑体"/>
          <w:color w:val="9D0300"/>
          <w:sz w:val="28"/>
          <w:szCs w:val="28"/>
          <w:highlight w:val="none"/>
          <w:lang w:val="en-US" w:eastAsia="zh-CN"/>
        </w:rPr>
        <w:fldChar w:fldCharType="separate"/>
      </w:r>
      <w:r>
        <w:rPr>
          <w:rFonts w:hint="eastAsia" w:ascii="黑体" w:hAnsi="黑体" w:eastAsia="黑体" w:cs="黑体"/>
          <w:color w:val="9D0300"/>
          <w:sz w:val="28"/>
          <w:szCs w:val="28"/>
          <w:highlight w:val="none"/>
          <w:lang w:val="en-US" w:eastAsia="zh-CN"/>
        </w:rPr>
        <w:t>11</w:t>
      </w:r>
      <w:r>
        <w:rPr>
          <w:rFonts w:hint="eastAsia" w:ascii="黑体" w:hAnsi="黑体" w:eastAsia="黑体" w:cs="黑体"/>
          <w:color w:val="9D0300"/>
          <w:sz w:val="28"/>
          <w:szCs w:val="28"/>
          <w:highlight w:val="none"/>
          <w:lang w:val="en-US" w:eastAsia="zh-CN"/>
        </w:rPr>
        <w:fldChar w:fldCharType="end"/>
      </w:r>
      <w:bookmarkStart w:id="51" w:name="_Toc6198"/>
      <w:r>
        <w:rPr>
          <w:rFonts w:hint="eastAsia" w:ascii="黑体" w:hAnsi="黑体" w:eastAsia="黑体" w:cs="黑体"/>
          <w:color w:val="9D0300"/>
          <w:sz w:val="28"/>
          <w:szCs w:val="28"/>
          <w:highlight w:val="none"/>
          <w:lang w:val="en-US" w:eastAsia="zh-CN"/>
        </w:rPr>
        <w:t xml:space="preserve"> 2023年国赛团体一等奖（第11枚金牌）获奖选手孙海慧（左）、卜佳慧</w:t>
      </w:r>
      <w:r>
        <w:rPr>
          <w:rFonts w:hint="eastAsia" w:ascii="黑体" w:hAnsi="黑体" w:cs="黑体"/>
          <w:color w:val="9D0300"/>
          <w:sz w:val="28"/>
          <w:szCs w:val="28"/>
          <w:highlight w:val="none"/>
          <w:lang w:val="en-US" w:eastAsia="zh-CN"/>
        </w:rPr>
        <w:t>（右）</w:t>
      </w:r>
      <w:bookmarkEnd w:id="51"/>
    </w:p>
    <w:bookmarkEnd w:id="50"/>
    <w:p>
      <w:pPr>
        <w:keepNext/>
        <w:keepLines/>
        <w:pageBreakBefore w:val="0"/>
        <w:widowControl w:val="0"/>
        <w:kinsoku/>
        <w:wordWrap/>
        <w:overflowPunct/>
        <w:topLinePunct w:val="0"/>
        <w:autoSpaceDE/>
        <w:autoSpaceDN/>
        <w:bidi w:val="0"/>
        <w:adjustRightInd/>
        <w:snapToGrid/>
        <w:spacing w:line="560" w:lineRule="exact"/>
        <w:ind w:left="0" w:leftChars="0" w:firstLine="0" w:firstLineChars="0"/>
        <w:textAlignment w:val="auto"/>
        <w:outlineLvl w:val="9"/>
        <w:rPr>
          <w:rFonts w:hint="eastAsia" w:ascii="黑体" w:hAnsi="黑体" w:eastAsia="黑体" w:cs="黑体"/>
          <w:b/>
          <w:bCs/>
          <w:color w:val="A20000"/>
          <w:sz w:val="30"/>
          <w:szCs w:val="30"/>
          <w:lang w:val="en-US" w:eastAsia="zh-CN"/>
        </w:rPr>
      </w:pPr>
      <w:r>
        <w:rPr>
          <w:rFonts w:hint="eastAsia" w:ascii="黑体" w:hAnsi="黑体" w:eastAsia="黑体" w:cs="黑体"/>
          <w:b/>
          <w:bCs/>
          <w:color w:val="A20000"/>
          <w:sz w:val="30"/>
          <w:szCs w:val="30"/>
        </w:rPr>
        <w:t>1.</w:t>
      </w:r>
      <w:r>
        <w:rPr>
          <w:rFonts w:hint="eastAsia" w:ascii="黑体" w:hAnsi="黑体" w:eastAsia="黑体" w:cs="黑体"/>
          <w:b/>
          <w:bCs/>
          <w:color w:val="A20000"/>
          <w:sz w:val="30"/>
          <w:szCs w:val="30"/>
          <w:lang w:val="en-US" w:eastAsia="zh-CN"/>
        </w:rPr>
        <w:t>5职业发展</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color w:val="A20000"/>
          <w:sz w:val="28"/>
          <w:szCs w:val="28"/>
          <w:lang w:val="en-US" w:eastAsia="zh-CN"/>
        </w:rPr>
        <w:t>毕业生去向落实率高。</w:t>
      </w:r>
      <w:r>
        <w:rPr>
          <w:rFonts w:hint="eastAsia" w:ascii="仿宋_GB2312" w:hAnsi="仿宋_GB2312" w:eastAsia="仿宋_GB2312" w:cs="仿宋_GB2312"/>
          <w:sz w:val="28"/>
          <w:szCs w:val="28"/>
          <w:lang w:val="en-US" w:eastAsia="zh-CN"/>
        </w:rPr>
        <w:t>山东省莱阳卫生学校</w:t>
      </w:r>
      <w:r>
        <w:rPr>
          <w:rFonts w:hint="eastAsia" w:ascii="仿宋_GB2312" w:hAnsi="仿宋_GB2312" w:eastAsia="仿宋_GB2312" w:cs="仿宋_GB2312"/>
          <w:sz w:val="28"/>
          <w:szCs w:val="28"/>
        </w:rPr>
        <w:t>2023年共有毕业生973人，分布在护理、药剂、医学影像技术、医学检验技术、口腔修复工艺、康复技术六个专业中，毕业去向落实人数达到959人，达到98.56%，毕业生去向落实率和往年基本持平，</w:t>
      </w:r>
      <w:r>
        <w:rPr>
          <w:rFonts w:hint="eastAsia" w:ascii="仿宋_GB2312" w:hAnsi="仿宋_GB2312" w:eastAsia="仿宋_GB2312" w:cs="仿宋_GB2312"/>
          <w:sz w:val="28"/>
          <w:szCs w:val="28"/>
          <w:lang w:val="en-US" w:eastAsia="zh-CN"/>
        </w:rPr>
        <w:t>连续三</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都</w:t>
      </w:r>
      <w:r>
        <w:rPr>
          <w:rFonts w:hint="eastAsia" w:ascii="仿宋_GB2312" w:hAnsi="仿宋_GB2312" w:eastAsia="仿宋_GB2312" w:cs="仿宋_GB2312"/>
          <w:sz w:val="28"/>
          <w:szCs w:val="28"/>
        </w:rPr>
        <w:t>保持在</w:t>
      </w:r>
      <w:r>
        <w:rPr>
          <w:rFonts w:hint="eastAsia" w:ascii="仿宋_GB2312" w:hAnsi="仿宋_GB2312" w:eastAsia="仿宋_GB2312" w:cs="仿宋_GB2312"/>
          <w:sz w:val="28"/>
          <w:szCs w:val="28"/>
          <w:lang w:val="en-US" w:eastAsia="zh-CN"/>
        </w:rPr>
        <w:t>98.50%以上</w:t>
      </w:r>
      <w:r>
        <w:rPr>
          <w:rFonts w:hint="eastAsia" w:ascii="仿宋_GB2312" w:hAnsi="仿宋_GB2312" w:eastAsia="仿宋_GB2312" w:cs="仿宋_GB2312"/>
          <w:sz w:val="28"/>
          <w:szCs w:val="28"/>
        </w:rPr>
        <w:t>（见</w:t>
      </w:r>
      <w:r>
        <w:rPr>
          <w:rFonts w:hint="eastAsia" w:ascii="仿宋_GB2312" w:hAnsi="仿宋_GB2312" w:eastAsia="仿宋_GB2312" w:cs="仿宋_GB2312"/>
          <w:sz w:val="28"/>
          <w:szCs w:val="28"/>
          <w:lang w:val="en-US" w:eastAsia="zh-CN"/>
        </w:rPr>
        <w:t>图</w:t>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w:t>
      </w:r>
    </w:p>
    <w:p>
      <w:pPr>
        <w:jc w:val="center"/>
        <w:rPr>
          <w:rFonts w:ascii="仿宋" w:hAnsi="仿宋" w:eastAsia="仿宋"/>
          <w:sz w:val="28"/>
          <w:szCs w:val="28"/>
        </w:rPr>
      </w:pPr>
      <w:r>
        <w:drawing>
          <wp:inline distT="0" distB="0" distL="0" distR="0">
            <wp:extent cx="5438775" cy="2167890"/>
            <wp:effectExtent l="5080" t="4445" r="4445" b="18415"/>
            <wp:docPr id="23208450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pPr>
        <w:pStyle w:val="6"/>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黑体" w:hAnsi="黑体" w:eastAsia="黑体" w:cs="黑体"/>
          <w:color w:val="9D0300"/>
          <w:sz w:val="28"/>
          <w:szCs w:val="28"/>
          <w:highlight w:val="none"/>
          <w:lang w:val="en-US" w:eastAsia="zh-CN"/>
        </w:rPr>
      </w:pPr>
      <w:r>
        <w:rPr>
          <w:rFonts w:hint="eastAsia" w:ascii="黑体" w:hAnsi="黑体" w:eastAsia="黑体" w:cs="黑体"/>
          <w:color w:val="9D0300"/>
          <w:sz w:val="28"/>
          <w:szCs w:val="28"/>
          <w:highlight w:val="none"/>
          <w:lang w:val="en-US" w:eastAsia="zh-CN"/>
        </w:rPr>
        <w:t xml:space="preserve">图 </w:t>
      </w:r>
      <w:r>
        <w:rPr>
          <w:rFonts w:hint="eastAsia" w:ascii="黑体" w:hAnsi="黑体" w:eastAsia="黑体" w:cs="黑体"/>
          <w:color w:val="9D0300"/>
          <w:sz w:val="28"/>
          <w:szCs w:val="28"/>
          <w:highlight w:val="none"/>
          <w:lang w:val="en-US" w:eastAsia="zh-CN"/>
        </w:rPr>
        <w:fldChar w:fldCharType="begin"/>
      </w:r>
      <w:r>
        <w:rPr>
          <w:rFonts w:hint="eastAsia" w:ascii="黑体" w:hAnsi="黑体" w:eastAsia="黑体" w:cs="黑体"/>
          <w:color w:val="9D0300"/>
          <w:sz w:val="28"/>
          <w:szCs w:val="28"/>
          <w:highlight w:val="none"/>
          <w:lang w:val="en-US" w:eastAsia="zh-CN"/>
        </w:rPr>
        <w:instrText xml:space="preserve"> SEQ 图 \* ARABIC </w:instrText>
      </w:r>
      <w:r>
        <w:rPr>
          <w:rFonts w:hint="eastAsia" w:ascii="黑体" w:hAnsi="黑体" w:eastAsia="黑体" w:cs="黑体"/>
          <w:color w:val="9D0300"/>
          <w:sz w:val="28"/>
          <w:szCs w:val="28"/>
          <w:highlight w:val="none"/>
          <w:lang w:val="en-US" w:eastAsia="zh-CN"/>
        </w:rPr>
        <w:fldChar w:fldCharType="separate"/>
      </w:r>
      <w:r>
        <w:rPr>
          <w:rFonts w:hint="eastAsia" w:ascii="黑体" w:hAnsi="黑体" w:eastAsia="黑体" w:cs="黑体"/>
          <w:color w:val="9D0300"/>
          <w:sz w:val="28"/>
          <w:szCs w:val="28"/>
          <w:highlight w:val="none"/>
          <w:lang w:val="en-US" w:eastAsia="zh-CN"/>
        </w:rPr>
        <w:t>12</w:t>
      </w:r>
      <w:r>
        <w:rPr>
          <w:rFonts w:hint="eastAsia" w:ascii="黑体" w:hAnsi="黑体" w:eastAsia="黑体" w:cs="黑体"/>
          <w:color w:val="9D0300"/>
          <w:sz w:val="28"/>
          <w:szCs w:val="28"/>
          <w:highlight w:val="none"/>
          <w:lang w:val="en-US" w:eastAsia="zh-CN"/>
        </w:rPr>
        <w:fldChar w:fldCharType="end"/>
      </w:r>
      <w:bookmarkStart w:id="52" w:name="_Toc8924"/>
      <w:r>
        <w:rPr>
          <w:rFonts w:hint="eastAsia" w:ascii="黑体" w:hAnsi="黑体" w:eastAsia="黑体" w:cs="黑体"/>
          <w:color w:val="9D0300"/>
          <w:sz w:val="28"/>
          <w:szCs w:val="28"/>
          <w:highlight w:val="none"/>
          <w:lang w:val="en-US" w:eastAsia="zh-CN"/>
        </w:rPr>
        <w:t xml:space="preserve"> 近</w:t>
      </w:r>
      <w:r>
        <w:rPr>
          <w:rFonts w:hint="eastAsia" w:ascii="黑体" w:hAnsi="黑体" w:cs="黑体"/>
          <w:color w:val="9D0300"/>
          <w:sz w:val="28"/>
          <w:szCs w:val="28"/>
          <w:highlight w:val="none"/>
          <w:lang w:val="en-US" w:eastAsia="zh-CN"/>
        </w:rPr>
        <w:t>三</w:t>
      </w:r>
      <w:r>
        <w:rPr>
          <w:rFonts w:hint="eastAsia" w:ascii="黑体" w:hAnsi="黑体" w:eastAsia="黑体" w:cs="黑体"/>
          <w:color w:val="9D0300"/>
          <w:sz w:val="28"/>
          <w:szCs w:val="28"/>
          <w:highlight w:val="none"/>
          <w:lang w:val="en-US" w:eastAsia="zh-CN"/>
        </w:rPr>
        <w:t>年毕业生去向落实率</w:t>
      </w:r>
      <w:bookmarkEnd w:id="52"/>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华文新魏" w:hAnsi="华文新魏" w:eastAsia="华文新魏" w:cs="华文新魏"/>
          <w:b/>
          <w:bCs/>
          <w:color w:val="A20000"/>
          <w:sz w:val="32"/>
          <w:szCs w:val="32"/>
          <w:highlight w:val="none"/>
          <w:lang w:val="en-US" w:eastAsia="zh-CN"/>
        </w:rPr>
      </w:pPr>
      <w:r>
        <w:rPr>
          <w:rFonts w:hint="eastAsia" w:ascii="华文新魏" w:hAnsi="华文新魏" w:eastAsia="华文新魏" w:cs="华文新魏"/>
          <w:b/>
          <w:bCs/>
          <w:color w:val="A20000"/>
          <w:sz w:val="32"/>
          <w:szCs w:val="32"/>
          <w:highlight w:val="none"/>
        </w:rPr>
        <w:t xml:space="preserve">案例 </w:t>
      </w:r>
      <w:r>
        <w:rPr>
          <w:rFonts w:hint="eastAsia" w:ascii="华文新魏" w:hAnsi="华文新魏" w:eastAsia="华文新魏" w:cs="华文新魏"/>
          <w:b/>
          <w:bCs/>
          <w:color w:val="A20000"/>
          <w:sz w:val="32"/>
          <w:szCs w:val="32"/>
          <w:highlight w:val="none"/>
        </w:rPr>
        <w:fldChar w:fldCharType="begin"/>
      </w:r>
      <w:r>
        <w:rPr>
          <w:rFonts w:hint="eastAsia" w:ascii="华文新魏" w:hAnsi="华文新魏" w:eastAsia="华文新魏" w:cs="华文新魏"/>
          <w:b/>
          <w:bCs/>
          <w:color w:val="A20000"/>
          <w:sz w:val="32"/>
          <w:szCs w:val="32"/>
          <w:highlight w:val="none"/>
        </w:rPr>
        <w:instrText xml:space="preserve"> SEQ 案例 \* ARABIC </w:instrText>
      </w:r>
      <w:r>
        <w:rPr>
          <w:rFonts w:hint="eastAsia" w:ascii="华文新魏" w:hAnsi="华文新魏" w:eastAsia="华文新魏" w:cs="华文新魏"/>
          <w:b/>
          <w:bCs/>
          <w:color w:val="A20000"/>
          <w:sz w:val="32"/>
          <w:szCs w:val="32"/>
          <w:highlight w:val="none"/>
        </w:rPr>
        <w:fldChar w:fldCharType="separate"/>
      </w:r>
      <w:r>
        <w:rPr>
          <w:rFonts w:hint="eastAsia" w:ascii="华文新魏" w:hAnsi="华文新魏" w:eastAsia="华文新魏" w:cs="华文新魏"/>
          <w:b/>
          <w:bCs/>
          <w:color w:val="A20000"/>
          <w:sz w:val="32"/>
          <w:szCs w:val="32"/>
          <w:highlight w:val="none"/>
        </w:rPr>
        <w:t>11</w:t>
      </w:r>
      <w:r>
        <w:rPr>
          <w:rFonts w:hint="eastAsia" w:ascii="华文新魏" w:hAnsi="华文新魏" w:eastAsia="华文新魏" w:cs="华文新魏"/>
          <w:b/>
          <w:bCs/>
          <w:color w:val="A20000"/>
          <w:sz w:val="32"/>
          <w:szCs w:val="32"/>
          <w:highlight w:val="none"/>
        </w:rPr>
        <w:fldChar w:fldCharType="end"/>
      </w:r>
      <w:bookmarkStart w:id="53" w:name="_Toc5376"/>
      <w:r>
        <w:rPr>
          <w:rFonts w:hint="eastAsia" w:ascii="华文新魏" w:hAnsi="华文新魏" w:eastAsia="华文新魏" w:cs="华文新魏"/>
          <w:b/>
          <w:bCs/>
          <w:color w:val="A20000"/>
          <w:sz w:val="32"/>
          <w:szCs w:val="32"/>
          <w:highlight w:val="none"/>
          <w:lang w:val="en-US" w:eastAsia="zh-CN"/>
        </w:rPr>
        <w:t>：多措并举促进</w:t>
      </w:r>
      <w:r>
        <w:rPr>
          <w:rFonts w:hint="eastAsia" w:ascii="华文新魏" w:hAnsi="华文新魏" w:eastAsia="华文新魏" w:cs="华文新魏"/>
          <w:b/>
          <w:bCs/>
          <w:color w:val="A20000"/>
          <w:sz w:val="32"/>
          <w:szCs w:val="32"/>
          <w:highlight w:val="none"/>
        </w:rPr>
        <w:t>就业，就业效率</w:t>
      </w:r>
      <w:r>
        <w:rPr>
          <w:rFonts w:hint="eastAsia" w:ascii="华文新魏" w:hAnsi="华文新魏" w:eastAsia="华文新魏" w:cs="华文新魏"/>
          <w:b/>
          <w:bCs/>
          <w:color w:val="A20000"/>
          <w:sz w:val="32"/>
          <w:szCs w:val="32"/>
          <w:highlight w:val="none"/>
          <w:lang w:val="en-US" w:eastAsia="zh-CN"/>
        </w:rPr>
        <w:t>持续向好</w:t>
      </w:r>
      <w:bookmarkEnd w:id="53"/>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rPr>
      </w:pPr>
      <w:r>
        <w:rPr>
          <w:rFonts w:hint="eastAsia" w:ascii="楷体" w:hAnsi="楷体" w:eastAsia="楷体" w:cs="楷体"/>
          <w:sz w:val="28"/>
          <w:szCs w:val="28"/>
          <w:lang w:val="en-US" w:eastAsia="zh-CN"/>
        </w:rPr>
        <w:t>学校</w:t>
      </w:r>
      <w:r>
        <w:rPr>
          <w:rFonts w:hint="eastAsia" w:ascii="楷体" w:hAnsi="楷体" w:eastAsia="楷体" w:cs="楷体"/>
          <w:sz w:val="28"/>
          <w:szCs w:val="28"/>
        </w:rPr>
        <w:t>根据专业发展趋势和就业形势的不同，有针对性</w:t>
      </w:r>
      <w:r>
        <w:rPr>
          <w:rFonts w:hint="eastAsia" w:ascii="楷体" w:hAnsi="楷体" w:eastAsia="楷体" w:cs="楷体"/>
          <w:sz w:val="28"/>
          <w:szCs w:val="28"/>
          <w:lang w:val="en-US" w:eastAsia="zh-CN"/>
        </w:rPr>
        <w:t>地</w:t>
      </w:r>
      <w:r>
        <w:rPr>
          <w:rFonts w:hint="eastAsia" w:ascii="楷体" w:hAnsi="楷体" w:eastAsia="楷体" w:cs="楷体"/>
          <w:sz w:val="28"/>
          <w:szCs w:val="28"/>
        </w:rPr>
        <w:t>进行就业指导，通过专家就业讲座、网络指导等方式帮助学生</w:t>
      </w:r>
      <w:r>
        <w:rPr>
          <w:rFonts w:hint="eastAsia" w:ascii="楷体" w:hAnsi="楷体" w:eastAsia="楷体" w:cs="楷体"/>
          <w:sz w:val="28"/>
          <w:szCs w:val="28"/>
          <w:lang w:eastAsia="zh-CN"/>
        </w:rPr>
        <w:t>，</w:t>
      </w:r>
      <w:r>
        <w:rPr>
          <w:rFonts w:hint="eastAsia" w:ascii="楷体" w:hAnsi="楷体" w:eastAsia="楷体" w:cs="楷体"/>
          <w:sz w:val="28"/>
          <w:szCs w:val="28"/>
        </w:rPr>
        <w:t>认清面临的就业形势，知晓就业发展方向，拓宽就业出路，提高就业效率。张旭阳是</w:t>
      </w:r>
      <w:r>
        <w:rPr>
          <w:rFonts w:hint="eastAsia" w:ascii="楷体" w:hAnsi="楷体" w:eastAsia="楷体" w:cs="楷体"/>
          <w:sz w:val="28"/>
          <w:szCs w:val="28"/>
          <w:lang w:val="en-US" w:eastAsia="zh-CN"/>
        </w:rPr>
        <w:t>学校</w:t>
      </w:r>
      <w:r>
        <w:rPr>
          <w:rFonts w:hint="eastAsia" w:ascii="楷体" w:hAnsi="楷体" w:eastAsia="楷体" w:cs="楷体"/>
          <w:sz w:val="28"/>
          <w:szCs w:val="28"/>
        </w:rPr>
        <w:t>护理专业毕业生，在学校期间积极参加学校组织的各类就业讲座，及时了解护理类就业市场的形势变化，弄清护理类专业的就业方向。通过不断学习，</w:t>
      </w:r>
      <w:r>
        <w:rPr>
          <w:rFonts w:hint="eastAsia" w:ascii="楷体" w:hAnsi="楷体" w:eastAsia="楷体" w:cs="楷体"/>
          <w:sz w:val="28"/>
          <w:szCs w:val="28"/>
          <w:lang w:val="en-US" w:eastAsia="zh-CN"/>
        </w:rPr>
        <w:t>张旭阳认识到</w:t>
      </w:r>
      <w:r>
        <w:rPr>
          <w:rFonts w:hint="eastAsia" w:ascii="楷体" w:hAnsi="楷体" w:eastAsia="楷体" w:cs="楷体"/>
          <w:sz w:val="28"/>
          <w:szCs w:val="28"/>
        </w:rPr>
        <w:t>随着人民生活水平的不断提高，人民群众对自身健康的关注程度不断提升，对于眼健康越来越重视，很多眼科医院应运而生，发展前景广阔，她便将就业目标定位在眼科医院这一新兴的领域，通过自身的不断努力，顺利被莱阳市爱尔眼科医院录用，并签订了就业协议。</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color w:val="A20000"/>
          <w:sz w:val="28"/>
          <w:szCs w:val="28"/>
          <w:lang w:val="en-US" w:eastAsia="zh-CN"/>
        </w:rPr>
        <w:t>升学成为毕业生首选。</w:t>
      </w:r>
      <w:r>
        <w:rPr>
          <w:rFonts w:hint="eastAsia" w:ascii="仿宋_GB2312" w:hAnsi="仿宋_GB2312" w:eastAsia="仿宋_GB2312" w:cs="仿宋_GB2312"/>
          <w:sz w:val="28"/>
          <w:szCs w:val="28"/>
          <w:lang w:val="en-US" w:eastAsia="zh-CN"/>
        </w:rPr>
        <w:t>随着国家卫生健康事业进入了高质量发展阶段，社会对医疗卫生行业从业人员的综合素养要求在不断提高，医护类就业市场招聘人员时的学历要求在不断提高，加上国家高职扩招政策的实施，求学深造已经成为绝大部分中专毕业生首选的就业方向。根据就业形势的变化，学校积极进行春季高考的宣传和引导，通过专题讲座、就业课、宣传栏等形式，帮助学生加深对春季高考政策及形势的理解，积极引导学生参加升学考试，统一组织有升学意向的学生办理网上报名、现场资格审查、网上交费等相关手续，引导春季高考报名的学生积极参加山东省高职院校的单独招生考试，组织未被单独招生考试录取的学生按时参加山东省春季高考的技能考试、理论考试及志愿填报，组织未被录取的考生参加高职注册入学志愿填报，最大限度增加考生的录取机率。</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color w:val="A20000"/>
          <w:sz w:val="28"/>
          <w:szCs w:val="28"/>
          <w:lang w:val="en-US" w:eastAsia="zh-CN"/>
        </w:rPr>
        <w:t>升学渠道更加丰富。</w:t>
      </w:r>
      <w:r>
        <w:rPr>
          <w:rFonts w:hint="eastAsia" w:ascii="仿宋_GB2312" w:hAnsi="仿宋_GB2312" w:eastAsia="仿宋_GB2312" w:cs="仿宋_GB2312"/>
          <w:sz w:val="28"/>
          <w:szCs w:val="28"/>
          <w:lang w:val="en-US" w:eastAsia="zh-CN"/>
        </w:rPr>
        <w:t>山东省莱阳卫生学校为了提升学生以后的就业竞争力，通过多种渠道引导毕业生继续进行求学深造。一是开展“3+4”中本贯通人才培养教育，学生在莱阳卫校完成前3年中职学业后，经考核合格升入滨州医学院接受本科教育。二是开展“3+2”中高职贯通人才培养教育，学生在莱阳卫校完成前2年中职学业后，经考核合格后继续进行高职（专科）阶段的学习。三是对于普通中职学生，加强国家职教高考政策的宣传和引导，指导其合理备考，考入高等院校继续进行求学深造。</w:t>
      </w:r>
    </w:p>
    <w:p>
      <w:pPr>
        <w:pStyle w:val="6"/>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华文新魏" w:hAnsi="华文新魏" w:eastAsia="华文新魏" w:cs="华文新魏"/>
          <w:b/>
          <w:bCs/>
          <w:color w:val="A20000"/>
          <w:sz w:val="32"/>
          <w:szCs w:val="32"/>
          <w:highlight w:val="none"/>
          <w:lang w:val="en-US" w:eastAsia="zh-CN"/>
        </w:rPr>
      </w:pPr>
      <w:r>
        <w:rPr>
          <w:rFonts w:hint="eastAsia" w:ascii="华文新魏" w:hAnsi="华文新魏" w:eastAsia="华文新魏" w:cs="华文新魏"/>
          <w:b/>
          <w:bCs/>
          <w:color w:val="A20000"/>
          <w:sz w:val="32"/>
          <w:szCs w:val="32"/>
          <w:highlight w:val="none"/>
        </w:rPr>
        <w:t xml:space="preserve">案例 </w:t>
      </w:r>
      <w:r>
        <w:rPr>
          <w:rFonts w:hint="eastAsia" w:ascii="华文新魏" w:hAnsi="华文新魏" w:eastAsia="华文新魏" w:cs="华文新魏"/>
          <w:b/>
          <w:bCs/>
          <w:color w:val="A20000"/>
          <w:sz w:val="32"/>
          <w:szCs w:val="32"/>
          <w:highlight w:val="none"/>
        </w:rPr>
        <w:fldChar w:fldCharType="begin"/>
      </w:r>
      <w:r>
        <w:rPr>
          <w:rFonts w:hint="eastAsia" w:ascii="华文新魏" w:hAnsi="华文新魏" w:eastAsia="华文新魏" w:cs="华文新魏"/>
          <w:b/>
          <w:bCs/>
          <w:color w:val="A20000"/>
          <w:sz w:val="32"/>
          <w:szCs w:val="32"/>
          <w:highlight w:val="none"/>
        </w:rPr>
        <w:instrText xml:space="preserve"> SEQ 案例 \* ARABIC </w:instrText>
      </w:r>
      <w:r>
        <w:rPr>
          <w:rFonts w:hint="eastAsia" w:ascii="华文新魏" w:hAnsi="华文新魏" w:eastAsia="华文新魏" w:cs="华文新魏"/>
          <w:b/>
          <w:bCs/>
          <w:color w:val="A20000"/>
          <w:sz w:val="32"/>
          <w:szCs w:val="32"/>
          <w:highlight w:val="none"/>
        </w:rPr>
        <w:fldChar w:fldCharType="separate"/>
      </w:r>
      <w:r>
        <w:rPr>
          <w:rFonts w:hint="eastAsia" w:ascii="华文新魏" w:hAnsi="华文新魏" w:eastAsia="华文新魏" w:cs="华文新魏"/>
          <w:b/>
          <w:bCs/>
          <w:color w:val="A20000"/>
          <w:sz w:val="32"/>
          <w:szCs w:val="32"/>
          <w:highlight w:val="none"/>
        </w:rPr>
        <w:t>12</w:t>
      </w:r>
      <w:r>
        <w:rPr>
          <w:rFonts w:hint="eastAsia" w:ascii="华文新魏" w:hAnsi="华文新魏" w:eastAsia="华文新魏" w:cs="华文新魏"/>
          <w:b/>
          <w:bCs/>
          <w:color w:val="A20000"/>
          <w:sz w:val="32"/>
          <w:szCs w:val="32"/>
          <w:highlight w:val="none"/>
        </w:rPr>
        <w:fldChar w:fldCharType="end"/>
      </w:r>
      <w:bookmarkStart w:id="54" w:name="_Toc14927"/>
      <w:r>
        <w:rPr>
          <w:rFonts w:hint="eastAsia" w:ascii="华文新魏" w:hAnsi="华文新魏" w:eastAsia="华文新魏" w:cs="华文新魏"/>
          <w:b/>
          <w:bCs/>
          <w:color w:val="A20000"/>
          <w:sz w:val="32"/>
          <w:szCs w:val="32"/>
          <w:highlight w:val="none"/>
        </w:rPr>
        <w:t>：</w:t>
      </w:r>
      <w:r>
        <w:rPr>
          <w:rFonts w:hint="eastAsia" w:ascii="华文新魏" w:hAnsi="华文新魏" w:eastAsia="华文新魏" w:cs="华文新魏"/>
          <w:b/>
          <w:bCs/>
          <w:color w:val="A20000"/>
          <w:sz w:val="32"/>
          <w:szCs w:val="32"/>
          <w:highlight w:val="none"/>
          <w:lang w:val="en-US" w:eastAsia="zh-CN"/>
        </w:rPr>
        <w:t>多渠道提升学习能力</w:t>
      </w:r>
      <w:r>
        <w:rPr>
          <w:rFonts w:hint="eastAsia" w:ascii="华文新魏" w:hAnsi="华文新魏" w:eastAsia="华文新魏" w:cs="华文新魏"/>
          <w:b/>
          <w:bCs/>
          <w:color w:val="A20000"/>
          <w:sz w:val="32"/>
          <w:szCs w:val="32"/>
          <w:highlight w:val="none"/>
        </w:rPr>
        <w:t>，成就本科梦想</w:t>
      </w:r>
      <w:bookmarkEnd w:id="54"/>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楷体" w:hAnsi="楷体" w:eastAsia="楷体" w:cs="楷体"/>
          <w:b/>
          <w:bCs/>
          <w:sz w:val="28"/>
          <w:szCs w:val="28"/>
        </w:rPr>
      </w:pPr>
      <w:r>
        <w:rPr>
          <w:rFonts w:hint="eastAsia" w:ascii="楷体" w:hAnsi="楷体" w:eastAsia="楷体" w:cs="楷体"/>
          <w:sz w:val="28"/>
          <w:szCs w:val="28"/>
        </w:rPr>
        <w:t>张冰妍同学是</w:t>
      </w:r>
      <w:r>
        <w:rPr>
          <w:rFonts w:hint="eastAsia" w:ascii="楷体" w:hAnsi="楷体" w:eastAsia="楷体" w:cs="楷体"/>
          <w:sz w:val="28"/>
          <w:szCs w:val="28"/>
          <w:lang w:val="en-US" w:eastAsia="zh-CN"/>
        </w:rPr>
        <w:t>山东省莱阳卫生学校</w:t>
      </w:r>
      <w:r>
        <w:rPr>
          <w:rFonts w:hint="eastAsia" w:ascii="楷体" w:hAnsi="楷体" w:eastAsia="楷体" w:cs="楷体"/>
          <w:sz w:val="28"/>
          <w:szCs w:val="28"/>
        </w:rPr>
        <w:t>2023届毕业生，在2020年刚刚进入学校学习的时候，她对中职学校不是很了解，心理上有一些失落，因为她想上普通高中考大学。入学之后，学校介绍了国家的职教高考（春季高考）制度，号召广大同学努力学习，进入高等院校继续求学深造，提升学历层次。在学校的指导下，她认识到春季高考的优势，树立了参加春季高考的人生目标，重拾自己的大学梦。她积极学习掌握考试政策，多方搜集考试学习资料，努力进行考试内容的学习，通过自己不懈的努力，2023年顺利被本科层次专业录取，实现了自己的大学梦。</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color w:val="A20000"/>
          <w:sz w:val="28"/>
          <w:szCs w:val="28"/>
          <w:lang w:val="en-US" w:eastAsia="zh-CN"/>
        </w:rPr>
        <w:t>毕业生就业满意度高。</w:t>
      </w:r>
      <w:r>
        <w:rPr>
          <w:rFonts w:hint="eastAsia" w:ascii="仿宋_GB2312" w:hAnsi="仿宋_GB2312" w:eastAsia="仿宋_GB2312" w:cs="仿宋_GB2312"/>
          <w:sz w:val="28"/>
          <w:szCs w:val="28"/>
          <w:lang w:val="en-US" w:eastAsia="zh-CN"/>
        </w:rPr>
        <w:t>学校通过问卷调查方式开展了2023届毕业生就业满意度调查，调查内容包括学校提供的就业指导、升学服务等方面的就业服务。调查数据显示，98.30%的毕业生对学校提供的就业指导、升学服务等就业服务工作表示认可。由于越来越多的学生选择升学继续身在，学校加大了考学服务工作力度，通过讲座、考试经验分享会、校园宣传栏等多种方式引导学生了解春季高考的相关政策及发展趋势，指导学生采用正确的方式进行备考，并统一组织有考学意向的学生做好网上报名、现场资格审查、查体等各项工作，组织报考的学生积极参加高职院校单独招生考试，增加录取机率。</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华文新魏" w:hAnsi="华文新魏" w:eastAsia="华文新魏" w:cs="华文新魏"/>
          <w:b/>
          <w:bCs/>
          <w:color w:val="A20000"/>
          <w:sz w:val="32"/>
          <w:szCs w:val="32"/>
          <w:highlight w:val="none"/>
          <w:lang w:val="en-US" w:eastAsia="zh-CN"/>
        </w:rPr>
      </w:pPr>
      <w:r>
        <w:rPr>
          <w:rFonts w:hint="eastAsia" w:ascii="华文新魏" w:hAnsi="华文新魏" w:eastAsia="华文新魏" w:cs="华文新魏"/>
          <w:b/>
          <w:bCs/>
          <w:color w:val="A20000"/>
          <w:sz w:val="32"/>
          <w:szCs w:val="32"/>
          <w:highlight w:val="none"/>
        </w:rPr>
        <w:t xml:space="preserve">案例 </w:t>
      </w:r>
      <w:r>
        <w:rPr>
          <w:rFonts w:hint="eastAsia" w:ascii="华文新魏" w:hAnsi="华文新魏" w:eastAsia="华文新魏" w:cs="华文新魏"/>
          <w:b/>
          <w:bCs/>
          <w:color w:val="A20000"/>
          <w:sz w:val="32"/>
          <w:szCs w:val="32"/>
          <w:highlight w:val="none"/>
        </w:rPr>
        <w:fldChar w:fldCharType="begin"/>
      </w:r>
      <w:r>
        <w:rPr>
          <w:rFonts w:hint="eastAsia" w:ascii="华文新魏" w:hAnsi="华文新魏" w:eastAsia="华文新魏" w:cs="华文新魏"/>
          <w:b/>
          <w:bCs/>
          <w:color w:val="A20000"/>
          <w:sz w:val="32"/>
          <w:szCs w:val="32"/>
          <w:highlight w:val="none"/>
        </w:rPr>
        <w:instrText xml:space="preserve"> SEQ 案例 \* ARABIC </w:instrText>
      </w:r>
      <w:r>
        <w:rPr>
          <w:rFonts w:hint="eastAsia" w:ascii="华文新魏" w:hAnsi="华文新魏" w:eastAsia="华文新魏" w:cs="华文新魏"/>
          <w:b/>
          <w:bCs/>
          <w:color w:val="A20000"/>
          <w:sz w:val="32"/>
          <w:szCs w:val="32"/>
          <w:highlight w:val="none"/>
        </w:rPr>
        <w:fldChar w:fldCharType="separate"/>
      </w:r>
      <w:r>
        <w:rPr>
          <w:rFonts w:hint="eastAsia" w:ascii="华文新魏" w:hAnsi="华文新魏" w:eastAsia="华文新魏" w:cs="华文新魏"/>
          <w:b/>
          <w:bCs/>
          <w:color w:val="A20000"/>
          <w:sz w:val="32"/>
          <w:szCs w:val="32"/>
          <w:highlight w:val="none"/>
        </w:rPr>
        <w:t>13</w:t>
      </w:r>
      <w:r>
        <w:rPr>
          <w:rFonts w:hint="eastAsia" w:ascii="华文新魏" w:hAnsi="华文新魏" w:eastAsia="华文新魏" w:cs="华文新魏"/>
          <w:b/>
          <w:bCs/>
          <w:color w:val="A20000"/>
          <w:sz w:val="32"/>
          <w:szCs w:val="32"/>
          <w:highlight w:val="none"/>
        </w:rPr>
        <w:fldChar w:fldCharType="end"/>
      </w:r>
      <w:bookmarkStart w:id="55" w:name="_Toc13288"/>
      <w:r>
        <w:rPr>
          <w:rFonts w:hint="eastAsia" w:ascii="华文新魏" w:hAnsi="华文新魏" w:eastAsia="华文新魏" w:cs="华文新魏"/>
          <w:b/>
          <w:bCs/>
          <w:color w:val="A20000"/>
          <w:sz w:val="32"/>
          <w:szCs w:val="32"/>
          <w:highlight w:val="none"/>
        </w:rPr>
        <w:t>：多措并举，提高就业指导效果</w:t>
      </w:r>
      <w:bookmarkEnd w:id="55"/>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sz w:val="28"/>
          <w:szCs w:val="28"/>
        </w:rPr>
      </w:pPr>
      <w:r>
        <w:rPr>
          <w:rFonts w:hint="eastAsia" w:ascii="楷体" w:hAnsi="楷体" w:eastAsia="楷体" w:cs="楷体"/>
          <w:sz w:val="28"/>
          <w:szCs w:val="28"/>
          <w:lang w:val="en-US" w:eastAsia="zh-CN"/>
        </w:rPr>
        <w:t>山东省莱阳卫生学校</w:t>
      </w:r>
      <w:r>
        <w:rPr>
          <w:rFonts w:hint="eastAsia" w:ascii="楷体" w:hAnsi="楷体" w:eastAsia="楷体" w:cs="楷体"/>
          <w:sz w:val="28"/>
          <w:szCs w:val="28"/>
        </w:rPr>
        <w:t>重视学生的就业指导工作，通过多种途径提高学生就业指导的效果。从学生入校开始，便开设职业生涯规划课程，指导学生了解自己所学专业的发展情况，帮助学生从自身的实际情况出发，树立合理的发展目标，制定合理的发展规划措施。在开设职业生涯规划课的基础之上，学校重视引导学生多渠道进行发展，一是根据国家大力发展春季高考的政策，积极开展春季高考讲座，帮助中职学生正确理解春季高考的相关政策，指导有意向的学生合理备考；二是贯彻国家关于开展国际交流合作的政策精神，开展出国留学、就业的宣传和引导，帮助有出国发展愿望的学生合理规划发展方向，积极进行语言学习，争取早日实现人生梦想；三是根据各专业的情况开展相关指导，帮助想直接就业的学生认真学习专业知识，提高自己的专业素养，成长为一名合格的专业技术人员。</w:t>
      </w:r>
    </w:p>
    <w:p>
      <w:pPr>
        <w:jc w:val="center"/>
        <w:rPr>
          <w:rFonts w:hint="eastAsia" w:ascii="仿宋" w:hAnsi="仿宋" w:eastAsia="仿宋"/>
          <w:sz w:val="28"/>
          <w:szCs w:val="28"/>
        </w:rPr>
      </w:pPr>
      <w:r>
        <w:rPr>
          <w:rFonts w:ascii="仿宋" w:hAnsi="仿宋" w:eastAsia="仿宋"/>
          <w:sz w:val="28"/>
          <w:szCs w:val="28"/>
        </w:rPr>
        <w:drawing>
          <wp:inline distT="0" distB="0" distL="0" distR="0">
            <wp:extent cx="5579745" cy="3816985"/>
            <wp:effectExtent l="0" t="0" r="1905" b="12065"/>
            <wp:docPr id="21322096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209621" name="图片 1"/>
                    <pic:cNvPicPr>
                      <a:picLocks noChangeAspect="1" noChangeArrowheads="1"/>
                    </pic:cNvPicPr>
                  </pic:nvPicPr>
                  <pic:blipFill>
                    <a:blip r:embed="rId21" cstate="print">
                      <a:extLst>
                        <a:ext uri="{28A0092B-C50C-407E-A947-70E740481C1C}">
                          <a14:useLocalDpi xmlns:a14="http://schemas.microsoft.com/office/drawing/2010/main" val="0"/>
                        </a:ext>
                      </a:extLst>
                    </a:blip>
                    <a:srcRect b="8785"/>
                    <a:stretch>
                      <a:fillRect/>
                    </a:stretch>
                  </pic:blipFill>
                  <pic:spPr>
                    <a:xfrm>
                      <a:off x="0" y="0"/>
                      <a:ext cx="5579745" cy="3816985"/>
                    </a:xfrm>
                    <a:prstGeom prst="rect">
                      <a:avLst/>
                    </a:prstGeom>
                    <a:noFill/>
                    <a:ln>
                      <a:noFill/>
                    </a:ln>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黑体" w:hAnsi="黑体" w:eastAsia="黑体" w:cs="黑体"/>
          <w:color w:val="9D0300"/>
          <w:sz w:val="24"/>
          <w:szCs w:val="24"/>
          <w:highlight w:val="none"/>
          <w:lang w:val="en-US" w:eastAsia="zh-CN"/>
        </w:rPr>
      </w:pPr>
      <w:bookmarkStart w:id="56" w:name="_Toc29526"/>
      <w:r>
        <w:rPr>
          <w:rFonts w:hint="eastAsia" w:ascii="黑体" w:hAnsi="黑体" w:eastAsia="黑体" w:cs="黑体"/>
          <w:color w:val="9D0300"/>
          <w:sz w:val="28"/>
          <w:szCs w:val="28"/>
          <w:highlight w:val="none"/>
          <w:lang w:val="en-US" w:eastAsia="zh-CN"/>
        </w:rPr>
        <w:t xml:space="preserve">图 </w:t>
      </w:r>
      <w:r>
        <w:rPr>
          <w:rFonts w:hint="eastAsia" w:ascii="黑体" w:hAnsi="黑体" w:eastAsia="黑体" w:cs="黑体"/>
          <w:color w:val="9D0300"/>
          <w:sz w:val="28"/>
          <w:szCs w:val="28"/>
          <w:highlight w:val="none"/>
          <w:lang w:val="en-US" w:eastAsia="zh-CN"/>
        </w:rPr>
        <w:fldChar w:fldCharType="begin"/>
      </w:r>
      <w:r>
        <w:rPr>
          <w:rFonts w:hint="eastAsia" w:ascii="黑体" w:hAnsi="黑体" w:eastAsia="黑体" w:cs="黑体"/>
          <w:color w:val="9D0300"/>
          <w:sz w:val="28"/>
          <w:szCs w:val="28"/>
          <w:highlight w:val="none"/>
          <w:lang w:val="en-US" w:eastAsia="zh-CN"/>
        </w:rPr>
        <w:instrText xml:space="preserve"> SEQ 图 \* ARABIC </w:instrText>
      </w:r>
      <w:r>
        <w:rPr>
          <w:rFonts w:hint="eastAsia" w:ascii="黑体" w:hAnsi="黑体" w:eastAsia="黑体" w:cs="黑体"/>
          <w:color w:val="9D0300"/>
          <w:sz w:val="28"/>
          <w:szCs w:val="28"/>
          <w:highlight w:val="none"/>
          <w:lang w:val="en-US" w:eastAsia="zh-CN"/>
        </w:rPr>
        <w:fldChar w:fldCharType="separate"/>
      </w:r>
      <w:r>
        <w:rPr>
          <w:rFonts w:hint="eastAsia" w:ascii="黑体" w:hAnsi="黑体" w:eastAsia="黑体" w:cs="黑体"/>
          <w:color w:val="9D0300"/>
          <w:sz w:val="28"/>
          <w:szCs w:val="28"/>
          <w:highlight w:val="none"/>
          <w:lang w:val="en-US" w:eastAsia="zh-CN"/>
        </w:rPr>
        <w:t>13</w:t>
      </w:r>
      <w:r>
        <w:rPr>
          <w:rFonts w:hint="eastAsia" w:ascii="黑体" w:hAnsi="黑体" w:eastAsia="黑体" w:cs="黑体"/>
          <w:color w:val="9D0300"/>
          <w:sz w:val="28"/>
          <w:szCs w:val="28"/>
          <w:highlight w:val="none"/>
          <w:lang w:val="en-US" w:eastAsia="zh-CN"/>
        </w:rPr>
        <w:fldChar w:fldCharType="end"/>
      </w:r>
      <w:bookmarkStart w:id="57" w:name="_Toc8369"/>
      <w:r>
        <w:rPr>
          <w:rFonts w:hint="eastAsia" w:ascii="黑体" w:hAnsi="黑体" w:eastAsia="黑体" w:cs="黑体"/>
          <w:color w:val="9D0300"/>
          <w:sz w:val="28"/>
          <w:szCs w:val="28"/>
          <w:highlight w:val="none"/>
          <w:lang w:val="en-US" w:eastAsia="zh-CN"/>
        </w:rPr>
        <w:t xml:space="preserve"> 中药专业出国留学讲座</w:t>
      </w:r>
      <w:bookmarkEnd w:id="57"/>
    </w:p>
    <w:bookmarkEnd w:id="56"/>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color w:val="A20000"/>
          <w:sz w:val="28"/>
          <w:szCs w:val="28"/>
          <w:lang w:val="en-US" w:eastAsia="zh-CN"/>
        </w:rPr>
        <w:t>用人单位满意度高。</w:t>
      </w:r>
      <w:r>
        <w:rPr>
          <w:rFonts w:hint="eastAsia" w:ascii="仿宋_GB2312" w:hAnsi="仿宋_GB2312" w:eastAsia="仿宋_GB2312" w:cs="仿宋_GB2312"/>
          <w:sz w:val="28"/>
          <w:szCs w:val="28"/>
          <w:lang w:val="en-US" w:eastAsia="zh-CN"/>
        </w:rPr>
        <w:t>随着国家高职扩招政策的实施和医药卫生类市场就业门槛的不断提高，求学深造已经成为绝大部分中职毕业生的首要就业选择，越来越多的中职毕业生选择升入高等院校继续学习，而不是直接工作。山东省莱阳卫生学校重视毕业生就业工作，不断强化就业指导，帮助学生合理进行就业定位。学校积极落实国家高职扩招的政策要求，通过多种渠道进行春季高考相关政策的宣传，引导学生升入高等院校继续学习深造，提升学历层次，提升自己将来的就业发展空间。2023年山东省莱阳卫生学校有毕业生973人，落实就业去向人数959人，全部选择继续求学深造，占总毕业生人数98.56%。用人单位对学校毕业生的综合素质评价较高，满意度达到100%。</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sz w:val="28"/>
          <w:szCs w:val="28"/>
        </w:rPr>
      </w:pPr>
      <w:r>
        <w:rPr>
          <w:rFonts w:hint="eastAsia" w:ascii="华文新魏" w:hAnsi="华文新魏" w:eastAsia="华文新魏" w:cs="华文新魏"/>
          <w:b/>
          <w:bCs/>
          <w:color w:val="A20000"/>
          <w:sz w:val="32"/>
          <w:szCs w:val="32"/>
          <w:highlight w:val="none"/>
        </w:rPr>
        <w:t xml:space="preserve">案例 </w:t>
      </w:r>
      <w:r>
        <w:rPr>
          <w:rFonts w:hint="eastAsia" w:ascii="华文新魏" w:hAnsi="华文新魏" w:eastAsia="华文新魏" w:cs="华文新魏"/>
          <w:b/>
          <w:bCs/>
          <w:color w:val="A20000"/>
          <w:sz w:val="32"/>
          <w:szCs w:val="32"/>
          <w:highlight w:val="none"/>
        </w:rPr>
        <w:fldChar w:fldCharType="begin"/>
      </w:r>
      <w:r>
        <w:rPr>
          <w:rFonts w:hint="eastAsia" w:ascii="华文新魏" w:hAnsi="华文新魏" w:eastAsia="华文新魏" w:cs="华文新魏"/>
          <w:b/>
          <w:bCs/>
          <w:color w:val="A20000"/>
          <w:sz w:val="32"/>
          <w:szCs w:val="32"/>
          <w:highlight w:val="none"/>
        </w:rPr>
        <w:instrText xml:space="preserve"> SEQ 案例 \* ARABIC </w:instrText>
      </w:r>
      <w:r>
        <w:rPr>
          <w:rFonts w:hint="eastAsia" w:ascii="华文新魏" w:hAnsi="华文新魏" w:eastAsia="华文新魏" w:cs="华文新魏"/>
          <w:b/>
          <w:bCs/>
          <w:color w:val="A20000"/>
          <w:sz w:val="32"/>
          <w:szCs w:val="32"/>
          <w:highlight w:val="none"/>
        </w:rPr>
        <w:fldChar w:fldCharType="separate"/>
      </w:r>
      <w:r>
        <w:rPr>
          <w:rFonts w:hint="eastAsia" w:ascii="华文新魏" w:hAnsi="华文新魏" w:eastAsia="华文新魏" w:cs="华文新魏"/>
          <w:b/>
          <w:bCs/>
          <w:color w:val="A20000"/>
          <w:sz w:val="32"/>
          <w:szCs w:val="32"/>
          <w:highlight w:val="none"/>
        </w:rPr>
        <w:t>14</w:t>
      </w:r>
      <w:r>
        <w:rPr>
          <w:rFonts w:hint="eastAsia" w:ascii="华文新魏" w:hAnsi="华文新魏" w:eastAsia="华文新魏" w:cs="华文新魏"/>
          <w:b/>
          <w:bCs/>
          <w:color w:val="A20000"/>
          <w:sz w:val="32"/>
          <w:szCs w:val="32"/>
          <w:highlight w:val="none"/>
        </w:rPr>
        <w:fldChar w:fldCharType="end"/>
      </w:r>
      <w:bookmarkStart w:id="58" w:name="_Toc15144"/>
      <w:r>
        <w:rPr>
          <w:rFonts w:hint="eastAsia" w:ascii="华文新魏" w:hAnsi="华文新魏" w:eastAsia="华文新魏" w:cs="华文新魏"/>
          <w:b/>
          <w:bCs/>
          <w:color w:val="A20000"/>
          <w:sz w:val="32"/>
          <w:szCs w:val="32"/>
          <w:highlight w:val="none"/>
        </w:rPr>
        <w:t>：加强校企合</w:t>
      </w:r>
      <w:r>
        <w:rPr>
          <w:rFonts w:hint="eastAsia" w:ascii="华文新魏" w:hAnsi="华文新魏" w:eastAsia="华文新魏" w:cs="华文新魏"/>
          <w:b/>
          <w:bCs/>
          <w:color w:val="A20000"/>
          <w:sz w:val="32"/>
          <w:szCs w:val="32"/>
          <w:highlight w:val="none"/>
          <w:lang w:val="en-US" w:eastAsia="zh-CN"/>
        </w:rPr>
        <w:t>作</w:t>
      </w:r>
      <w:r>
        <w:rPr>
          <w:rFonts w:hint="eastAsia" w:ascii="华文新魏" w:hAnsi="华文新魏" w:eastAsia="华文新魏" w:cs="华文新魏"/>
          <w:b/>
          <w:bCs/>
          <w:color w:val="A20000"/>
          <w:sz w:val="32"/>
          <w:szCs w:val="32"/>
          <w:highlight w:val="none"/>
        </w:rPr>
        <w:t>，提升人才培养质量</w:t>
      </w:r>
      <w:bookmarkEnd w:id="58"/>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rPr>
      </w:pPr>
      <w:r>
        <w:rPr>
          <w:rFonts w:hint="eastAsia" w:ascii="楷体" w:hAnsi="楷体" w:eastAsia="楷体" w:cs="楷体"/>
          <w:sz w:val="28"/>
          <w:szCs w:val="28"/>
          <w:lang w:val="en-US" w:eastAsia="zh-CN"/>
        </w:rPr>
        <w:t>学校</w:t>
      </w:r>
      <w:r>
        <w:rPr>
          <w:rFonts w:hint="eastAsia" w:ascii="楷体" w:hAnsi="楷体" w:eastAsia="楷体" w:cs="楷体"/>
          <w:sz w:val="28"/>
          <w:szCs w:val="28"/>
        </w:rPr>
        <w:t>以服务当地社会经济为导向，为当地企业的发展提供有效的人力支撑。</w:t>
      </w:r>
      <w:r>
        <w:rPr>
          <w:rFonts w:hint="eastAsia" w:ascii="楷体" w:hAnsi="楷体" w:eastAsia="楷体" w:cs="楷体"/>
          <w:sz w:val="28"/>
          <w:szCs w:val="28"/>
          <w:lang w:val="en-US" w:eastAsia="zh-CN"/>
        </w:rPr>
        <w:t>学校</w:t>
      </w:r>
      <w:r>
        <w:rPr>
          <w:rFonts w:hint="eastAsia" w:ascii="楷体" w:hAnsi="楷体" w:eastAsia="楷体" w:cs="楷体"/>
          <w:sz w:val="28"/>
          <w:szCs w:val="28"/>
        </w:rPr>
        <w:t>积极贯彻国家、山东省及烟台市的相关职业教育精神，积极和当地企业进行沟通，了解企业的发展情况和实际的用人需求标准，培养企业需要的技术技能型人才，助力企业发展。药剂专业是</w:t>
      </w:r>
      <w:r>
        <w:rPr>
          <w:rFonts w:hint="eastAsia" w:ascii="楷体" w:hAnsi="楷体" w:eastAsia="楷体" w:cs="楷体"/>
          <w:sz w:val="28"/>
          <w:szCs w:val="28"/>
          <w:lang w:val="en-US" w:eastAsia="zh-CN"/>
        </w:rPr>
        <w:t>学校</w:t>
      </w:r>
      <w:r>
        <w:rPr>
          <w:rFonts w:hint="eastAsia" w:ascii="楷体" w:hAnsi="楷体" w:eastAsia="楷体" w:cs="楷体"/>
          <w:sz w:val="28"/>
          <w:szCs w:val="28"/>
        </w:rPr>
        <w:t>的优势专业之一，依托现代学徒制试点院校的优势，积极与烟台市药企优质企业山东省立健医药城有限公司、莱阳市江波制药有限责任公司等企业进行合作，共同进行人才培养模式的开发，共同制定人才培养标准及相关的课程标准，提高学校药剂专业人才培养的适用性和匹配度，提高用人单位对于学校人才培养质量的认可度。</w:t>
      </w:r>
    </w:p>
    <w:p>
      <w:pPr>
        <w:jc w:val="center"/>
        <w:rPr>
          <w:rFonts w:hint="eastAsia" w:ascii="仿宋" w:hAnsi="仿宋" w:eastAsia="仿宋"/>
          <w:sz w:val="28"/>
          <w:szCs w:val="28"/>
        </w:rPr>
      </w:pPr>
      <w:r>
        <w:rPr>
          <w:rFonts w:ascii="仿宋" w:hAnsi="仿宋" w:eastAsia="仿宋"/>
          <w:sz w:val="28"/>
          <w:szCs w:val="28"/>
        </w:rPr>
        <w:drawing>
          <wp:inline distT="0" distB="0" distL="0" distR="0">
            <wp:extent cx="5579745" cy="4184650"/>
            <wp:effectExtent l="0" t="0" r="1905" b="6350"/>
            <wp:docPr id="21213251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25123" name="图片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579745" cy="4184650"/>
                    </a:xfrm>
                    <a:prstGeom prst="rect">
                      <a:avLst/>
                    </a:prstGeom>
                    <a:noFill/>
                    <a:ln>
                      <a:noFill/>
                    </a:ln>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黑体" w:hAnsi="黑体" w:eastAsia="黑体" w:cs="黑体"/>
          <w:color w:val="9D0300"/>
          <w:sz w:val="28"/>
          <w:szCs w:val="28"/>
          <w:highlight w:val="none"/>
          <w:lang w:val="en-US" w:eastAsia="zh-CN"/>
        </w:rPr>
      </w:pPr>
      <w:bookmarkStart w:id="59" w:name="_Toc4684"/>
      <w:r>
        <w:rPr>
          <w:rFonts w:hint="eastAsia" w:ascii="黑体" w:hAnsi="黑体" w:eastAsia="黑体" w:cs="黑体"/>
          <w:color w:val="9D0300"/>
          <w:sz w:val="28"/>
          <w:szCs w:val="28"/>
          <w:highlight w:val="none"/>
          <w:lang w:val="en-US" w:eastAsia="zh-CN"/>
        </w:rPr>
        <w:t xml:space="preserve">图 </w:t>
      </w:r>
      <w:r>
        <w:rPr>
          <w:rFonts w:hint="eastAsia" w:ascii="黑体" w:hAnsi="黑体" w:eastAsia="黑体" w:cs="黑体"/>
          <w:color w:val="9D0300"/>
          <w:sz w:val="28"/>
          <w:szCs w:val="28"/>
          <w:highlight w:val="none"/>
          <w:lang w:val="en-US" w:eastAsia="zh-CN"/>
        </w:rPr>
        <w:fldChar w:fldCharType="begin"/>
      </w:r>
      <w:r>
        <w:rPr>
          <w:rFonts w:hint="eastAsia" w:ascii="黑体" w:hAnsi="黑体" w:eastAsia="黑体" w:cs="黑体"/>
          <w:color w:val="9D0300"/>
          <w:sz w:val="28"/>
          <w:szCs w:val="28"/>
          <w:highlight w:val="none"/>
          <w:lang w:val="en-US" w:eastAsia="zh-CN"/>
        </w:rPr>
        <w:instrText xml:space="preserve"> SEQ 图 \* ARABIC </w:instrText>
      </w:r>
      <w:r>
        <w:rPr>
          <w:rFonts w:hint="eastAsia" w:ascii="黑体" w:hAnsi="黑体" w:eastAsia="黑体" w:cs="黑体"/>
          <w:color w:val="9D0300"/>
          <w:sz w:val="28"/>
          <w:szCs w:val="28"/>
          <w:highlight w:val="none"/>
          <w:lang w:val="en-US" w:eastAsia="zh-CN"/>
        </w:rPr>
        <w:fldChar w:fldCharType="separate"/>
      </w:r>
      <w:r>
        <w:rPr>
          <w:rFonts w:hint="eastAsia" w:ascii="黑体" w:hAnsi="黑体" w:eastAsia="黑体" w:cs="黑体"/>
          <w:color w:val="9D0300"/>
          <w:sz w:val="28"/>
          <w:szCs w:val="28"/>
          <w:highlight w:val="none"/>
          <w:lang w:val="en-US" w:eastAsia="zh-CN"/>
        </w:rPr>
        <w:t>14</w:t>
      </w:r>
      <w:r>
        <w:rPr>
          <w:rFonts w:hint="eastAsia" w:ascii="黑体" w:hAnsi="黑体" w:eastAsia="黑体" w:cs="黑体"/>
          <w:color w:val="9D0300"/>
          <w:sz w:val="28"/>
          <w:szCs w:val="28"/>
          <w:highlight w:val="none"/>
          <w:lang w:val="en-US" w:eastAsia="zh-CN"/>
        </w:rPr>
        <w:fldChar w:fldCharType="end"/>
      </w:r>
      <w:bookmarkStart w:id="60" w:name="_Toc7128"/>
      <w:r>
        <w:rPr>
          <w:rFonts w:hint="eastAsia" w:ascii="黑体" w:hAnsi="黑体" w:cs="黑体"/>
          <w:color w:val="9D0300"/>
          <w:sz w:val="28"/>
          <w:szCs w:val="28"/>
          <w:highlight w:val="none"/>
          <w:lang w:val="en-US" w:eastAsia="zh-CN"/>
        </w:rPr>
        <w:t xml:space="preserve"> </w:t>
      </w:r>
      <w:r>
        <w:rPr>
          <w:rFonts w:hint="eastAsia" w:ascii="黑体" w:hAnsi="黑体" w:eastAsia="黑体" w:cs="黑体"/>
          <w:color w:val="9D0300"/>
          <w:sz w:val="28"/>
          <w:szCs w:val="28"/>
          <w:highlight w:val="none"/>
          <w:lang w:val="en-US" w:eastAsia="zh-CN"/>
        </w:rPr>
        <w:t>药剂专业学生到企业学习</w:t>
      </w:r>
      <w:bookmarkEnd w:id="60"/>
    </w:p>
    <w:bookmarkEnd w:id="59"/>
    <w:p>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outlineLvl w:val="9"/>
        <w:rPr>
          <w:rFonts w:hint="eastAsia" w:ascii="黑体" w:hAnsi="黑体" w:eastAsia="黑体" w:cs="黑体"/>
          <w:color w:val="A20000"/>
          <w:sz w:val="36"/>
          <w:szCs w:val="36"/>
        </w:rPr>
      </w:pPr>
    </w:p>
    <w:p>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outlineLvl w:val="9"/>
        <w:rPr>
          <w:rFonts w:hint="eastAsia" w:ascii="黑体" w:hAnsi="黑体" w:eastAsia="黑体" w:cs="黑体"/>
          <w:color w:val="A20000"/>
          <w:sz w:val="36"/>
          <w:szCs w:val="36"/>
        </w:rPr>
      </w:pP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after="157" w:afterLines="50"/>
        <w:textAlignment w:val="auto"/>
        <w:outlineLvl w:val="0"/>
        <w:rPr>
          <w:rFonts w:hint="eastAsia" w:ascii="黑体" w:hAnsi="黑体" w:eastAsia="黑体" w:cs="黑体"/>
          <w:color w:val="A20000"/>
          <w:sz w:val="36"/>
          <w:szCs w:val="36"/>
        </w:rPr>
      </w:pPr>
      <w:bookmarkStart w:id="61" w:name="_Toc2183"/>
      <w:r>
        <w:rPr>
          <w:rFonts w:hint="eastAsia" w:ascii="黑体" w:hAnsi="黑体" w:eastAsia="黑体" w:cs="黑体"/>
          <w:color w:val="A20000"/>
          <w:sz w:val="36"/>
          <w:szCs w:val="36"/>
        </w:rPr>
        <w:t>服务贡献</w:t>
      </w:r>
      <w:bookmarkEnd w:id="61"/>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firstLine="560" w:firstLineChars="200"/>
        <w:textAlignment w:val="auto"/>
        <w:outlineLvl w:val="9"/>
        <w:rPr>
          <w:rFonts w:hint="default" w:ascii="黑体" w:hAnsi="黑体" w:eastAsia="黑体" w:cs="黑体"/>
          <w:color w:val="A20000"/>
          <w:sz w:val="36"/>
          <w:szCs w:val="36"/>
          <w:lang w:val="en-US" w:eastAsia="zh-CN"/>
        </w:rPr>
      </w:pPr>
      <w:r>
        <w:rPr>
          <w:rFonts w:hint="eastAsia" w:ascii="仿宋_GB2312" w:hAnsi="仿宋_GB2312" w:eastAsia="仿宋_GB2312" w:cs="仿宋_GB2312"/>
          <w:sz w:val="28"/>
          <w:szCs w:val="28"/>
          <w:lang w:val="en-US" w:eastAsia="zh-CN"/>
        </w:rPr>
        <w:t>山东省莱阳卫生学校立足当地，主动对接区域卫生健康产业发展需要，培养高素质卫生技术技能人才，服务行业企业发展，助力地方社会经济发展，同时，依托专业资源和师资队伍，结合地方经济特色，主动提供多样化、公益性社会服务，发挥学校服务职能，为全民终身学习、区域经济社会发展作出了积极贡献。</w:t>
      </w:r>
    </w:p>
    <w:p>
      <w:pPr>
        <w:pStyle w:val="3"/>
        <w:keepNext/>
        <w:keepLines/>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color w:val="A20000"/>
          <w:sz w:val="30"/>
          <w:szCs w:val="30"/>
        </w:rPr>
      </w:pPr>
      <w:bookmarkStart w:id="62" w:name="_Toc31313"/>
      <w:r>
        <w:rPr>
          <w:rFonts w:hint="eastAsia" w:ascii="黑体" w:hAnsi="黑体" w:eastAsia="黑体" w:cs="黑体"/>
          <w:color w:val="A20000"/>
          <w:sz w:val="30"/>
          <w:szCs w:val="30"/>
        </w:rPr>
        <w:t>2.1服务行业企业</w:t>
      </w:r>
      <w:bookmarkEnd w:id="62"/>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
          <w:bCs/>
          <w:color w:val="A20000"/>
          <w:sz w:val="28"/>
          <w:szCs w:val="28"/>
          <w:lang w:val="en-US" w:eastAsia="zh-CN"/>
        </w:rPr>
        <w:t>充分发挥优势服务卫生行业。</w:t>
      </w:r>
      <w:r>
        <w:rPr>
          <w:rFonts w:hint="eastAsia" w:ascii="仿宋_GB2312" w:hAnsi="仿宋_GB2312" w:eastAsia="仿宋_GB2312" w:cs="仿宋_GB2312"/>
          <w:sz w:val="28"/>
          <w:szCs w:val="28"/>
        </w:rPr>
        <w:t>积极响应健康中国、健康山东发展战略，提升学校人才培养的社会适应性，面向基层医疗卫生单位，培养高素质技术技能人才973人。充分发挥资源优势，不断拓宽社会服务功能，依托全科医师培训、护士资格考试、核酸采样培训、行业大赛等，积极开展考试和培训2000余人次。</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outlineLvl w:val="9"/>
        <w:rPr>
          <w:rFonts w:ascii="宋体" w:hAnsi="宋体" w:eastAsia="宋体" w:cs="宋体"/>
          <w:sz w:val="28"/>
          <w:szCs w:val="28"/>
        </w:rPr>
      </w:pPr>
      <w:r>
        <w:rPr>
          <w:rFonts w:hint="eastAsia" w:ascii="仿宋_GB2312" w:hAnsi="仿宋_GB2312" w:eastAsia="仿宋_GB2312" w:cs="仿宋_GB2312"/>
          <w:b/>
          <w:bCs/>
          <w:color w:val="A20000"/>
          <w:sz w:val="28"/>
          <w:szCs w:val="28"/>
          <w:lang w:val="en-US" w:eastAsia="zh-CN"/>
        </w:rPr>
        <w:t>深入产教融合服务卫生行业。</w:t>
      </w:r>
      <w:r>
        <w:rPr>
          <w:rFonts w:hint="eastAsia" w:ascii="仿宋_GB2312" w:hAnsi="仿宋_GB2312" w:eastAsia="仿宋_GB2312" w:cs="仿宋_GB2312"/>
          <w:sz w:val="28"/>
          <w:szCs w:val="28"/>
        </w:rPr>
        <w:t>加强校企合作，深化产教融合，本学年学校完成1776名实习学生实习派遣，实习地区以烟台市为核心，辐射周边地市，其中包括烟台毓璜顶医院、烟台山医院、滨州医学院烟台附属医院、烟台市莱阳中心医院、潍坊市益都中心医院、莱西市人民医院、即墨市人民医院、莱州市人民医院、蓬莱市人民医院、威海市立医院等10多所医院；坊嘉得隆义齿有限公司、烟台嘉美义齿有限公司、青岛中惠博义齿有限公司、青岛宏远义齿有限公司、济南金域医学检验中心有限公司、青岛金域医学检验中心有限公司、青岛同方药业连锁有限公司、青岛医保城药品连锁有限公司、山东立健药店连锁有限公司、山东燕喜堂医药连锁有限公司、山东康诺盛世医药有限公司等40余处教学实习基地。学生在实习实训过程中极大的满足了合作行业企业对人力资源的需求，从而实现了学校、学生、企业三赢。</w:t>
      </w:r>
    </w:p>
    <w:p>
      <w:pPr>
        <w:pStyle w:val="3"/>
        <w:keepNext/>
        <w:keepLines/>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color w:val="A20000"/>
          <w:sz w:val="30"/>
          <w:szCs w:val="30"/>
        </w:rPr>
      </w:pPr>
      <w:bookmarkStart w:id="63" w:name="_Toc29142"/>
      <w:r>
        <w:rPr>
          <w:rFonts w:hint="eastAsia" w:ascii="黑体" w:hAnsi="黑体" w:eastAsia="黑体" w:cs="黑体"/>
          <w:color w:val="A20000"/>
          <w:sz w:val="30"/>
          <w:szCs w:val="30"/>
        </w:rPr>
        <w:t>2.2服务地方发展</w:t>
      </w:r>
      <w:bookmarkEnd w:id="63"/>
    </w:p>
    <w:p>
      <w:pPr>
        <w:pStyle w:val="17"/>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hAnsi="仿宋_GB2312" w:eastAsia="仿宋_GB2312" w:cs="仿宋_GB2312"/>
          <w:sz w:val="32"/>
          <w:szCs w:val="32"/>
        </w:rPr>
      </w:pPr>
      <w:r>
        <w:rPr>
          <w:rFonts w:hint="eastAsia" w:ascii="仿宋_GB2312" w:hAnsi="仿宋_GB2312" w:eastAsia="仿宋_GB2312" w:cs="仿宋_GB2312"/>
          <w:sz w:val="28"/>
          <w:szCs w:val="28"/>
          <w:lang w:val="en-US" w:eastAsia="zh-CN"/>
        </w:rPr>
        <w:t>山东省莱阳卫生学校</w:t>
      </w:r>
      <w:r>
        <w:rPr>
          <w:rFonts w:hint="eastAsia" w:ascii="仿宋_GB2312" w:hAnsi="仿宋_GB2312" w:eastAsia="仿宋_GB2312" w:cs="仿宋_GB2312"/>
          <w:sz w:val="28"/>
          <w:szCs w:val="28"/>
        </w:rPr>
        <w:t>持续发挥社会职能，助力驻地卫生健康公益事业，组织</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名副高级职称教师参加烟台市健康科普专家遴选，并成功入选专家库。依托科普专家，开展健康专家走基层工作，为学校师生举办结核病、常见传染病等专题健康讲座8次；依托口腔科团队，全年为11所乡镇小学共计1781名学生进行了口腔龋病筛查建档及健康宣教，对符合适应证的1660名学生实施了窝沟封闭，封闭六龄齿5312颗，同比增长224%。获烟台市好护士1人，烟台市最美护士1人，2023年全国卫生系统‘最美天使’摄影大赛优秀组织奖，2023烟台市健康教育岗位技能竞赛优秀组织奖；2人通过中国牙防基金会培训，并获得“健康口腔推广大使”称号，学校获中国牙防基金会“健康口腔推广基地”称号。</w:t>
      </w:r>
    </w:p>
    <w:p>
      <w:pPr>
        <w:pStyle w:val="3"/>
        <w:keepNext/>
        <w:keepLines/>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color w:val="A20000"/>
          <w:sz w:val="30"/>
          <w:szCs w:val="30"/>
        </w:rPr>
      </w:pPr>
      <w:bookmarkStart w:id="64" w:name="_Toc22799"/>
      <w:r>
        <w:rPr>
          <w:rFonts w:hint="eastAsia" w:ascii="黑体" w:hAnsi="黑体" w:eastAsia="黑体" w:cs="黑体"/>
          <w:color w:val="A20000"/>
          <w:sz w:val="30"/>
          <w:szCs w:val="30"/>
        </w:rPr>
        <w:t>2.3服务乡村振兴</w:t>
      </w:r>
      <w:bookmarkEnd w:id="64"/>
    </w:p>
    <w:p>
      <w:pPr>
        <w:pStyle w:val="17"/>
        <w:keepNext w:val="0"/>
        <w:keepLines w:val="0"/>
        <w:pageBreakBefore w:val="0"/>
        <w:widowControl w:val="0"/>
        <w:kinsoku/>
        <w:wordWrap/>
        <w:overflowPunct/>
        <w:topLinePunct w:val="0"/>
        <w:autoSpaceDE/>
        <w:autoSpaceDN/>
        <w:bidi w:val="0"/>
        <w:adjustRightInd/>
        <w:snapToGrid/>
        <w:spacing w:line="560" w:lineRule="exact"/>
        <w:ind w:firstLine="560"/>
        <w:textAlignment w:val="auto"/>
      </w:pPr>
      <w:r>
        <w:rPr>
          <w:rFonts w:hint="eastAsia" w:ascii="仿宋_GB2312" w:hAnsi="仿宋_GB2312" w:eastAsia="仿宋_GB2312" w:cs="仿宋_GB2312"/>
          <w:sz w:val="28"/>
          <w:szCs w:val="28"/>
          <w:lang w:val="en-US" w:eastAsia="zh-CN"/>
        </w:rPr>
        <w:t>山东省莱阳卫生学校</w:t>
      </w:r>
      <w:r>
        <w:rPr>
          <w:rFonts w:hint="eastAsia" w:ascii="仿宋_GB2312" w:hAnsi="仿宋_GB2312" w:eastAsia="仿宋_GB2312" w:cs="仿宋_GB2312"/>
          <w:sz w:val="28"/>
          <w:szCs w:val="28"/>
        </w:rPr>
        <w:t>落实烟台市委组织部要求，承担莱阳市柏林庄街道北小平村的包村帮扶工作，通过深入调研了解民情村情，精准摸清村民急难愁盼和问题关键点，自筹资金10万元（财政拨款）改善北小平村的基础设施条件，提供技术培训38人次，致富信息3条，帮助指导村民构建起“美丽村居+特色农业+文化旅游+直播带货”的三产融合模式。</w:t>
      </w:r>
    </w:p>
    <w:p>
      <w:pPr>
        <w:pStyle w:val="3"/>
        <w:keepNext/>
        <w:keepLines/>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color w:val="A20000"/>
          <w:sz w:val="30"/>
          <w:szCs w:val="30"/>
        </w:rPr>
      </w:pPr>
      <w:bookmarkStart w:id="65" w:name="_Toc23736"/>
      <w:r>
        <w:rPr>
          <w:rFonts w:hint="eastAsia" w:ascii="黑体" w:hAnsi="黑体" w:eastAsia="黑体" w:cs="黑体"/>
          <w:color w:val="A20000"/>
          <w:sz w:val="30"/>
          <w:szCs w:val="30"/>
        </w:rPr>
        <w:t>2.4服务地方社区</w:t>
      </w:r>
      <w:bookmarkEnd w:id="65"/>
    </w:p>
    <w:p>
      <w:pPr>
        <w:pStyle w:val="17"/>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ascii="仿宋_GB2312" w:hAnsi="仿宋_GB2312" w:eastAsia="仿宋_GB2312" w:cs="仿宋_GB2312"/>
          <w:sz w:val="32"/>
          <w:szCs w:val="32"/>
        </w:rPr>
      </w:pPr>
      <w:r>
        <w:rPr>
          <w:rFonts w:hint="eastAsia" w:ascii="仿宋_GB2312" w:hAnsi="仿宋_GB2312" w:eastAsia="仿宋_GB2312" w:cs="仿宋_GB2312"/>
          <w:sz w:val="28"/>
          <w:szCs w:val="28"/>
          <w:lang w:val="en-US" w:eastAsia="zh-CN"/>
        </w:rPr>
        <w:t>山东省莱阳卫生学校</w:t>
      </w:r>
      <w:r>
        <w:rPr>
          <w:rFonts w:hint="eastAsia" w:ascii="仿宋_GB2312" w:hAnsi="仿宋_GB2312" w:eastAsia="仿宋_GB2312" w:cs="仿宋_GB2312"/>
          <w:sz w:val="28"/>
          <w:szCs w:val="28"/>
        </w:rPr>
        <w:t>依托学校医院和司法鉴定所，发挥资源优势，完成出院546人次，门诊22079人次，完成司法鉴定案例178例，其中临床174例、病理4例，鉴定采信率98%。完成学生查体790人次，社会查体373人次，教职工查体240人次。</w:t>
      </w:r>
    </w:p>
    <w:p>
      <w:pPr>
        <w:pStyle w:val="3"/>
        <w:keepNext/>
        <w:keepLines/>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color w:val="A20000"/>
          <w:sz w:val="30"/>
          <w:szCs w:val="30"/>
        </w:rPr>
      </w:pPr>
      <w:bookmarkStart w:id="66" w:name="_Toc32174"/>
      <w:r>
        <w:rPr>
          <w:rFonts w:hint="eastAsia" w:ascii="黑体" w:hAnsi="黑体" w:eastAsia="黑体" w:cs="黑体"/>
          <w:color w:val="A20000"/>
          <w:sz w:val="30"/>
          <w:szCs w:val="30"/>
        </w:rPr>
        <w:t>2.5具有地域特色的服务</w:t>
      </w:r>
      <w:bookmarkEnd w:id="66"/>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cs="Times New Roman"/>
          <w:sz w:val="32"/>
        </w:rPr>
      </w:pPr>
      <w:r>
        <w:rPr>
          <w:rFonts w:hint="eastAsia" w:ascii="仿宋_GB2312" w:hAnsi="仿宋_GB2312" w:eastAsia="仿宋_GB2312" w:cs="仿宋_GB2312"/>
          <w:sz w:val="28"/>
          <w:szCs w:val="28"/>
          <w:lang w:val="en-US" w:eastAsia="zh-CN"/>
        </w:rPr>
        <w:t>山东省莱阳卫生学校对接地方产业发展需要，</w:t>
      </w:r>
      <w:r>
        <w:rPr>
          <w:rFonts w:hint="eastAsia" w:ascii="仿宋_GB2312" w:hAnsi="仿宋_GB2312" w:eastAsia="仿宋_GB2312" w:cs="仿宋_GB2312"/>
          <w:sz w:val="28"/>
          <w:szCs w:val="28"/>
        </w:rPr>
        <w:t>根据《烟台市“一老一小”整体解决方案（2022-2025年）》，将养老托育从业人员纳入紧缺职业（工种）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开设老年照护、失智老年人照护、母婴护理、家庭保健按摩等4项相关证书培训，为社会培养紧缺人才，为“一老一小”整体解决方案提供有力人才支撑。</w:t>
      </w:r>
      <w:r>
        <w:rPr>
          <w:rFonts w:hint="eastAsia" w:ascii="仿宋_GB2312" w:hAnsi="仿宋_GB2312" w:eastAsia="仿宋_GB2312" w:cs="仿宋_GB2312"/>
          <w:sz w:val="28"/>
          <w:szCs w:val="28"/>
          <w:lang w:val="en-US" w:eastAsia="zh-CN"/>
        </w:rPr>
        <w:t>学校</w:t>
      </w:r>
      <w:r>
        <w:rPr>
          <w:rFonts w:hint="eastAsia" w:ascii="仿宋_GB2312" w:hAnsi="仿宋_GB2312" w:eastAsia="仿宋_GB2312" w:cs="仿宋_GB2312"/>
          <w:sz w:val="28"/>
          <w:szCs w:val="28"/>
        </w:rPr>
        <w:t>荣获失智老年人照护证书“优秀院校”、“示范院校”</w:t>
      </w:r>
      <w:r>
        <w:rPr>
          <w:rFonts w:hint="eastAsia" w:ascii="仿宋_GB2312" w:hAnsi="仿宋_GB2312" w:eastAsia="仿宋_GB2312" w:cs="仿宋_GB2312"/>
          <w:sz w:val="28"/>
          <w:szCs w:val="28"/>
          <w:lang w:val="en-US" w:eastAsia="zh-CN"/>
        </w:rPr>
        <w:t>以及</w:t>
      </w:r>
      <w:r>
        <w:rPr>
          <w:rFonts w:hint="eastAsia" w:ascii="仿宋_GB2312" w:hAnsi="仿宋_GB2312" w:eastAsia="仿宋_GB2312" w:cs="仿宋_GB2312"/>
          <w:sz w:val="28"/>
          <w:szCs w:val="28"/>
        </w:rPr>
        <w:t>老年照护、母婴护理、家庭保健按摩“优秀试点院校”荣誉。</w:t>
      </w:r>
      <w:r>
        <w:rPr>
          <w:rFonts w:hint="eastAsia" w:ascii="Times New Roman" w:hAnsi="Times New Roman" w:eastAsia="宋体" w:cs="Times New Roman"/>
          <w:sz w:val="32"/>
        </w:rPr>
        <w:t xml:space="preserve">          </w:t>
      </w:r>
    </w:p>
    <w:p>
      <w:pPr>
        <w:tabs>
          <w:tab w:val="left" w:pos="958"/>
          <w:tab w:val="left" w:pos="1078"/>
        </w:tabs>
        <w:ind w:left="0" w:leftChars="0" w:firstLine="0" w:firstLineChars="0"/>
        <w:jc w:val="center"/>
        <w:rPr>
          <w:rFonts w:ascii="Times New Roman" w:hAnsi="Times New Roman" w:eastAsia="宋体" w:cs="Times New Roman"/>
          <w:sz w:val="32"/>
        </w:rPr>
      </w:pPr>
      <w:r>
        <w:rPr>
          <w:rFonts w:ascii="Times New Roman" w:hAnsi="Times New Roman" w:eastAsia="宋体" w:cs="Times New Roman"/>
          <w:sz w:val="32"/>
        </w:rPr>
        <w:drawing>
          <wp:inline distT="0" distB="0" distL="114300" distR="114300">
            <wp:extent cx="5579745" cy="3655695"/>
            <wp:effectExtent l="0" t="0" r="1905" b="1905"/>
            <wp:docPr id="10" name="图片 1" descr="老年照护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老年照护3"/>
                    <pic:cNvPicPr>
                      <a:picLocks noChangeAspect="1"/>
                    </pic:cNvPicPr>
                  </pic:nvPicPr>
                  <pic:blipFill>
                    <a:blip r:embed="rId23"/>
                    <a:stretch>
                      <a:fillRect/>
                    </a:stretch>
                  </pic:blipFill>
                  <pic:spPr>
                    <a:xfrm>
                      <a:off x="0" y="0"/>
                      <a:ext cx="5579745" cy="3655695"/>
                    </a:xfrm>
                    <a:prstGeom prst="rect">
                      <a:avLst/>
                    </a:prstGeom>
                    <a:noFill/>
                    <a:ln>
                      <a:noFill/>
                    </a:ln>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ascii="Times New Roman" w:hAnsi="Times New Roman" w:eastAsia="宋体" w:cs="Times New Roman"/>
          <w:sz w:val="32"/>
        </w:rPr>
      </w:pPr>
      <w:bookmarkStart w:id="67" w:name="_Toc6765"/>
      <w:r>
        <w:rPr>
          <w:rFonts w:hint="eastAsia" w:ascii="黑体" w:hAnsi="黑体" w:eastAsia="黑体" w:cs="黑体"/>
          <w:color w:val="9D0300"/>
          <w:sz w:val="28"/>
          <w:szCs w:val="28"/>
          <w:highlight w:val="none"/>
          <w:lang w:val="en-US" w:eastAsia="zh-CN"/>
        </w:rPr>
        <w:t xml:space="preserve">图 </w:t>
      </w:r>
      <w:r>
        <w:rPr>
          <w:rFonts w:hint="eastAsia" w:ascii="黑体" w:hAnsi="黑体" w:eastAsia="黑体" w:cs="黑体"/>
          <w:color w:val="9D0300"/>
          <w:sz w:val="28"/>
          <w:szCs w:val="28"/>
          <w:highlight w:val="none"/>
          <w:lang w:val="en-US" w:eastAsia="zh-CN"/>
        </w:rPr>
        <w:fldChar w:fldCharType="begin"/>
      </w:r>
      <w:r>
        <w:rPr>
          <w:rFonts w:hint="eastAsia" w:ascii="黑体" w:hAnsi="黑体" w:eastAsia="黑体" w:cs="黑体"/>
          <w:color w:val="9D0300"/>
          <w:sz w:val="28"/>
          <w:szCs w:val="28"/>
          <w:highlight w:val="none"/>
          <w:lang w:val="en-US" w:eastAsia="zh-CN"/>
        </w:rPr>
        <w:instrText xml:space="preserve"> SEQ 图 \* ARABIC </w:instrText>
      </w:r>
      <w:r>
        <w:rPr>
          <w:rFonts w:hint="eastAsia" w:ascii="黑体" w:hAnsi="黑体" w:eastAsia="黑体" w:cs="黑体"/>
          <w:color w:val="9D0300"/>
          <w:sz w:val="28"/>
          <w:szCs w:val="28"/>
          <w:highlight w:val="none"/>
          <w:lang w:val="en-US" w:eastAsia="zh-CN"/>
        </w:rPr>
        <w:fldChar w:fldCharType="separate"/>
      </w:r>
      <w:r>
        <w:rPr>
          <w:rFonts w:hint="eastAsia" w:ascii="黑体" w:hAnsi="黑体" w:eastAsia="黑体" w:cs="黑体"/>
          <w:color w:val="9D0300"/>
          <w:sz w:val="28"/>
          <w:szCs w:val="28"/>
          <w:highlight w:val="none"/>
          <w:lang w:val="en-US" w:eastAsia="zh-CN"/>
        </w:rPr>
        <w:t>15</w:t>
      </w:r>
      <w:r>
        <w:rPr>
          <w:rFonts w:hint="eastAsia" w:ascii="黑体" w:hAnsi="黑体" w:eastAsia="黑体" w:cs="黑体"/>
          <w:color w:val="9D0300"/>
          <w:sz w:val="28"/>
          <w:szCs w:val="28"/>
          <w:highlight w:val="none"/>
          <w:lang w:val="en-US" w:eastAsia="zh-CN"/>
        </w:rPr>
        <w:fldChar w:fldCharType="end"/>
      </w:r>
      <w:bookmarkStart w:id="68" w:name="_Toc30869"/>
      <w:r>
        <w:rPr>
          <w:rFonts w:hint="eastAsia" w:ascii="黑体" w:hAnsi="黑体" w:eastAsia="黑体" w:cs="黑体"/>
          <w:color w:val="9D0300"/>
          <w:sz w:val="28"/>
          <w:szCs w:val="28"/>
          <w:highlight w:val="none"/>
          <w:lang w:val="en-US" w:eastAsia="zh-CN"/>
        </w:rPr>
        <w:t xml:space="preserve"> 学校承办“1+X”老年照护考试</w:t>
      </w:r>
      <w:bookmarkEnd w:id="67"/>
      <w:r>
        <w:rPr>
          <w:rFonts w:hint="eastAsia" w:ascii="Times New Roman" w:hAnsi="Times New Roman" w:eastAsia="宋体" w:cs="Times New Roman"/>
          <w:sz w:val="32"/>
        </w:rPr>
        <w:t xml:space="preserve"> </w:t>
      </w:r>
      <w:bookmarkEnd w:id="68"/>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山东省莱阳卫生学校</w:t>
      </w:r>
      <w:r>
        <w:rPr>
          <w:rFonts w:hint="eastAsia" w:ascii="仿宋_GB2312" w:hAnsi="仿宋_GB2312" w:eastAsia="仿宋_GB2312" w:cs="仿宋_GB2312"/>
          <w:sz w:val="28"/>
          <w:szCs w:val="28"/>
        </w:rPr>
        <w:t>作为烟台市中小学生“社会实践大课堂”活动场馆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学校依托</w:t>
      </w:r>
      <w:r>
        <w:rPr>
          <w:rFonts w:hint="eastAsia" w:ascii="仿宋_GB2312" w:hAnsi="仿宋_GB2312" w:eastAsia="仿宋_GB2312" w:cs="仿宋_GB2312"/>
          <w:sz w:val="28"/>
          <w:szCs w:val="28"/>
        </w:rPr>
        <w:t>生命健康教育基地</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开展丰富多彩的实践活动，利用周末及节假日，接待来自全市的中小学生参观体验，帮助中小学生认识生命、珍惜生命、敬畏生命，提高生存技能，提升生命质量，累计接待到访中小学生及家长</w:t>
      </w:r>
      <w:r>
        <w:rPr>
          <w:rFonts w:hint="eastAsia" w:ascii="仿宋_GB2312" w:hAnsi="仿宋_GB2312" w:eastAsia="仿宋_GB2312" w:cs="仿宋_GB2312"/>
          <w:sz w:val="28"/>
          <w:szCs w:val="28"/>
          <w:lang w:val="en-US" w:eastAsia="zh-CN"/>
        </w:rPr>
        <w:t>1000</w:t>
      </w:r>
      <w:r>
        <w:rPr>
          <w:rFonts w:hint="eastAsia" w:ascii="仿宋_GB2312" w:hAnsi="仿宋_GB2312" w:eastAsia="仿宋_GB2312" w:cs="仿宋_GB2312"/>
          <w:sz w:val="28"/>
          <w:szCs w:val="28"/>
        </w:rPr>
        <w:t>余人次。</w:t>
      </w:r>
    </w:p>
    <w:p>
      <w:pPr>
        <w:pStyle w:val="17"/>
        <w:ind w:left="0" w:leftChars="0" w:firstLine="0" w:firstLineChars="0"/>
        <w:jc w:val="center"/>
        <w:rPr>
          <w:rFonts w:ascii="仿宋" w:hAnsi="仿宋" w:eastAsia="仿宋" w:cs="仿宋"/>
          <w:color w:val="222222"/>
          <w:sz w:val="32"/>
          <w:szCs w:val="32"/>
          <w:shd w:val="clear" w:color="auto" w:fill="FFFFFF"/>
        </w:rPr>
      </w:pPr>
      <w:r>
        <w:rPr>
          <w:rFonts w:hint="eastAsia" w:ascii="仿宋" w:hAnsi="仿宋" w:eastAsia="仿宋" w:cs="仿宋"/>
          <w:color w:val="222222"/>
          <w:sz w:val="32"/>
          <w:szCs w:val="32"/>
          <w:shd w:val="clear" w:color="auto" w:fill="FFFFFF"/>
        </w:rPr>
        <w:drawing>
          <wp:inline distT="0" distB="0" distL="114300" distR="114300">
            <wp:extent cx="5579745" cy="3885565"/>
            <wp:effectExtent l="0" t="0" r="1905" b="635"/>
            <wp:docPr id="11" name="图片 5" descr="IMG_20230716_090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IMG_20230716_090737"/>
                    <pic:cNvPicPr>
                      <a:picLocks noChangeAspect="1"/>
                    </pic:cNvPicPr>
                  </pic:nvPicPr>
                  <pic:blipFill>
                    <a:blip r:embed="rId24"/>
                    <a:stretch>
                      <a:fillRect/>
                    </a:stretch>
                  </pic:blipFill>
                  <pic:spPr>
                    <a:xfrm>
                      <a:off x="0" y="0"/>
                      <a:ext cx="5579745" cy="3885565"/>
                    </a:xfrm>
                    <a:prstGeom prst="rect">
                      <a:avLst/>
                    </a:prstGeom>
                    <a:noFill/>
                    <a:ln>
                      <a:noFill/>
                    </a:ln>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黑体" w:hAnsi="黑体" w:eastAsia="黑体" w:cs="黑体"/>
          <w:color w:val="9D0300"/>
          <w:sz w:val="28"/>
          <w:szCs w:val="28"/>
          <w:highlight w:val="none"/>
          <w:lang w:val="en-US" w:eastAsia="zh-CN"/>
        </w:rPr>
      </w:pPr>
      <w:bookmarkStart w:id="69" w:name="_Toc1801"/>
      <w:r>
        <w:rPr>
          <w:rFonts w:hint="eastAsia" w:ascii="黑体" w:hAnsi="黑体" w:eastAsia="黑体" w:cs="黑体"/>
          <w:color w:val="9D0300"/>
          <w:sz w:val="28"/>
          <w:szCs w:val="28"/>
          <w:highlight w:val="none"/>
          <w:lang w:val="en-US" w:eastAsia="zh-CN"/>
        </w:rPr>
        <w:t xml:space="preserve">图 </w:t>
      </w:r>
      <w:r>
        <w:rPr>
          <w:rFonts w:hint="eastAsia" w:ascii="黑体" w:hAnsi="黑体" w:eastAsia="黑体" w:cs="黑体"/>
          <w:color w:val="9D0300"/>
          <w:sz w:val="28"/>
          <w:szCs w:val="28"/>
          <w:highlight w:val="none"/>
          <w:lang w:val="en-US" w:eastAsia="zh-CN"/>
        </w:rPr>
        <w:fldChar w:fldCharType="begin"/>
      </w:r>
      <w:r>
        <w:rPr>
          <w:rFonts w:hint="eastAsia" w:ascii="黑体" w:hAnsi="黑体" w:eastAsia="黑体" w:cs="黑体"/>
          <w:color w:val="9D0300"/>
          <w:sz w:val="28"/>
          <w:szCs w:val="28"/>
          <w:highlight w:val="none"/>
          <w:lang w:val="en-US" w:eastAsia="zh-CN"/>
        </w:rPr>
        <w:instrText xml:space="preserve"> SEQ 图 \* ARABIC </w:instrText>
      </w:r>
      <w:r>
        <w:rPr>
          <w:rFonts w:hint="eastAsia" w:ascii="黑体" w:hAnsi="黑体" w:eastAsia="黑体" w:cs="黑体"/>
          <w:color w:val="9D0300"/>
          <w:sz w:val="28"/>
          <w:szCs w:val="28"/>
          <w:highlight w:val="none"/>
          <w:lang w:val="en-US" w:eastAsia="zh-CN"/>
        </w:rPr>
        <w:fldChar w:fldCharType="separate"/>
      </w:r>
      <w:r>
        <w:rPr>
          <w:rFonts w:hint="eastAsia" w:ascii="黑体" w:hAnsi="黑体" w:eastAsia="黑体" w:cs="黑体"/>
          <w:color w:val="9D0300"/>
          <w:sz w:val="28"/>
          <w:szCs w:val="28"/>
          <w:highlight w:val="none"/>
          <w:lang w:val="en-US" w:eastAsia="zh-CN"/>
        </w:rPr>
        <w:t>16</w:t>
      </w:r>
      <w:r>
        <w:rPr>
          <w:rFonts w:hint="eastAsia" w:ascii="黑体" w:hAnsi="黑体" w:eastAsia="黑体" w:cs="黑体"/>
          <w:color w:val="9D0300"/>
          <w:sz w:val="28"/>
          <w:szCs w:val="28"/>
          <w:highlight w:val="none"/>
          <w:lang w:val="en-US" w:eastAsia="zh-CN"/>
        </w:rPr>
        <w:fldChar w:fldCharType="end"/>
      </w:r>
      <w:bookmarkStart w:id="70" w:name="_Toc12034"/>
      <w:r>
        <w:rPr>
          <w:rFonts w:hint="eastAsia" w:ascii="黑体" w:hAnsi="黑体" w:eastAsia="黑体" w:cs="黑体"/>
          <w:color w:val="9D0300"/>
          <w:sz w:val="28"/>
          <w:szCs w:val="28"/>
          <w:highlight w:val="none"/>
          <w:lang w:val="en-US" w:eastAsia="zh-CN"/>
        </w:rPr>
        <w:t xml:space="preserve"> 学校开展“社会实践大课堂”活动</w:t>
      </w:r>
      <w:bookmarkEnd w:id="70"/>
    </w:p>
    <w:bookmarkEnd w:id="69"/>
    <w:p>
      <w:pPr>
        <w:pStyle w:val="3"/>
        <w:keepNext/>
        <w:keepLines/>
        <w:pageBreakBefore w:val="0"/>
        <w:widowControl w:val="0"/>
        <w:kinsoku/>
        <w:wordWrap/>
        <w:overflowPunct/>
        <w:topLinePunct w:val="0"/>
        <w:autoSpaceDE/>
        <w:autoSpaceDN/>
        <w:bidi w:val="0"/>
        <w:adjustRightInd/>
        <w:snapToGrid/>
        <w:spacing w:before="157" w:beforeLines="50" w:line="560" w:lineRule="exact"/>
        <w:ind w:left="0" w:leftChars="0" w:firstLine="0" w:firstLineChars="0"/>
        <w:textAlignment w:val="auto"/>
        <w:rPr>
          <w:rFonts w:hint="eastAsia" w:ascii="黑体" w:hAnsi="黑体" w:eastAsia="黑体" w:cs="黑体"/>
          <w:color w:val="A20000"/>
          <w:sz w:val="30"/>
          <w:szCs w:val="30"/>
        </w:rPr>
      </w:pPr>
      <w:bookmarkStart w:id="71" w:name="_Toc20267"/>
      <w:r>
        <w:rPr>
          <w:rFonts w:hint="eastAsia" w:ascii="黑体" w:hAnsi="黑体" w:eastAsia="黑体" w:cs="黑体"/>
          <w:color w:val="A20000"/>
          <w:sz w:val="30"/>
          <w:szCs w:val="30"/>
        </w:rPr>
        <w:t>2.6具有本校特色的服务</w:t>
      </w:r>
      <w:bookmarkEnd w:id="71"/>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szCs w:val="21"/>
        </w:rPr>
      </w:pPr>
      <w:r>
        <w:rPr>
          <w:rFonts w:hint="eastAsia" w:ascii="仿宋_GB2312" w:hAnsi="仿宋_GB2312" w:eastAsia="仿宋_GB2312" w:cs="仿宋_GB2312"/>
          <w:sz w:val="28"/>
          <w:szCs w:val="28"/>
        </w:rPr>
        <w:t>山东省莱阳卫生学校发挥护理专业优势，持续开展以应急救护为主题的志愿服务项目</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成立山东省莱阳卫生学校南丁格尔志愿护理服务队，走进周边社区、城市广场、中小学校、企事业单位开展急救知识普及和技能培训，发放急救知识手册，2022年累计服务3000余人次。对接红十字会，积极开展红十字救护员培训，4名教师获红十字救护员培训师资格，累计培训救护员700余名。广泛开展志愿服务活动。志愿者们无私奉献，持续开展“关爱老人”、“龋病防治”</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“卫生死角清除”等志愿服务项目。2022年荣获烟台市学雷锋志愿服务典型最佳志愿服务组织、莱阳市优秀志愿服务组织。</w:t>
      </w:r>
    </w:p>
    <w:p>
      <w:pPr>
        <w:pStyle w:val="6"/>
        <w:keepNext w:val="0"/>
        <w:keepLines w:val="0"/>
        <w:pageBreakBefore w:val="0"/>
        <w:widowControl w:val="0"/>
        <w:kinsoku/>
        <w:wordWrap/>
        <w:overflowPunct/>
        <w:topLinePunct w:val="0"/>
        <w:autoSpaceDE/>
        <w:autoSpaceDN/>
        <w:bidi w:val="0"/>
        <w:adjustRightInd w:val="0"/>
        <w:snapToGrid w:val="0"/>
        <w:spacing w:before="0" w:after="0" w:line="240" w:lineRule="auto"/>
        <w:jc w:val="center"/>
        <w:textAlignment w:val="auto"/>
        <w:outlineLvl w:val="9"/>
        <w:rPr>
          <w:rFonts w:hint="eastAsia" w:ascii="黑体" w:hAnsi="黑体" w:eastAsia="黑体" w:cs="黑体"/>
          <w:color w:val="9D0300"/>
          <w:sz w:val="24"/>
          <w:szCs w:val="24"/>
          <w:highlight w:val="none"/>
          <w:lang w:val="en-US" w:eastAsia="zh-CN"/>
        </w:rPr>
      </w:pPr>
      <w:bookmarkStart w:id="72" w:name="_Toc22191"/>
      <w:r>
        <w:rPr>
          <w:rFonts w:hint="eastAsia" w:ascii="黑体" w:hAnsi="黑体" w:eastAsia="黑体" w:cs="黑体"/>
          <w:color w:val="9D0300"/>
          <w:sz w:val="24"/>
          <w:szCs w:val="24"/>
          <w:highlight w:val="none"/>
          <w:lang w:val="en-US" w:eastAsia="zh-CN"/>
        </w:rPr>
        <w:drawing>
          <wp:inline distT="0" distB="0" distL="114300" distR="114300">
            <wp:extent cx="5579745" cy="3723640"/>
            <wp:effectExtent l="0" t="0" r="1905" b="10160"/>
            <wp:docPr id="19" name="图片 19" descr="dce18b82c22f27d7df5b9961a123d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dce18b82c22f27d7df5b9961a123d24"/>
                    <pic:cNvPicPr>
                      <a:picLocks noChangeAspect="1"/>
                    </pic:cNvPicPr>
                  </pic:nvPicPr>
                  <pic:blipFill>
                    <a:blip r:embed="rId25"/>
                    <a:stretch>
                      <a:fillRect/>
                    </a:stretch>
                  </pic:blipFill>
                  <pic:spPr>
                    <a:xfrm>
                      <a:off x="0" y="0"/>
                      <a:ext cx="5579745" cy="3723640"/>
                    </a:xfrm>
                    <a:prstGeom prst="rect">
                      <a:avLst/>
                    </a:prstGeom>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spacing w:before="0" w:after="0" w:line="240" w:lineRule="auto"/>
        <w:jc w:val="center"/>
        <w:textAlignment w:val="auto"/>
        <w:outlineLvl w:val="9"/>
        <w:rPr>
          <w:rFonts w:hint="eastAsia" w:ascii="黑体" w:hAnsi="黑体" w:eastAsia="黑体" w:cs="黑体"/>
          <w:color w:val="9D0300"/>
          <w:sz w:val="24"/>
          <w:szCs w:val="24"/>
          <w:highlight w:val="none"/>
          <w:lang w:val="en-US" w:eastAsia="zh-CN"/>
        </w:rPr>
      </w:pPr>
      <w:r>
        <w:rPr>
          <w:rFonts w:hint="eastAsia" w:ascii="黑体" w:hAnsi="黑体" w:eastAsia="黑体" w:cs="黑体"/>
          <w:color w:val="9D0300"/>
          <w:sz w:val="28"/>
          <w:szCs w:val="28"/>
          <w:highlight w:val="none"/>
          <w:lang w:val="en-US" w:eastAsia="zh-CN"/>
        </w:rPr>
        <w:t xml:space="preserve">图 </w:t>
      </w:r>
      <w:r>
        <w:rPr>
          <w:rFonts w:hint="eastAsia" w:ascii="黑体" w:hAnsi="黑体" w:eastAsia="黑体" w:cs="黑体"/>
          <w:color w:val="9D0300"/>
          <w:sz w:val="28"/>
          <w:szCs w:val="28"/>
          <w:highlight w:val="none"/>
          <w:lang w:val="en-US" w:eastAsia="zh-CN"/>
        </w:rPr>
        <w:fldChar w:fldCharType="begin"/>
      </w:r>
      <w:r>
        <w:rPr>
          <w:rFonts w:hint="eastAsia" w:ascii="黑体" w:hAnsi="黑体" w:eastAsia="黑体" w:cs="黑体"/>
          <w:color w:val="9D0300"/>
          <w:sz w:val="28"/>
          <w:szCs w:val="28"/>
          <w:highlight w:val="none"/>
          <w:lang w:val="en-US" w:eastAsia="zh-CN"/>
        </w:rPr>
        <w:instrText xml:space="preserve"> SEQ 图 \* ARABIC </w:instrText>
      </w:r>
      <w:r>
        <w:rPr>
          <w:rFonts w:hint="eastAsia" w:ascii="黑体" w:hAnsi="黑体" w:eastAsia="黑体" w:cs="黑体"/>
          <w:color w:val="9D0300"/>
          <w:sz w:val="28"/>
          <w:szCs w:val="28"/>
          <w:highlight w:val="none"/>
          <w:lang w:val="en-US" w:eastAsia="zh-CN"/>
        </w:rPr>
        <w:fldChar w:fldCharType="separate"/>
      </w:r>
      <w:r>
        <w:rPr>
          <w:rFonts w:hint="eastAsia" w:ascii="黑体" w:hAnsi="黑体" w:eastAsia="黑体" w:cs="黑体"/>
          <w:color w:val="9D0300"/>
          <w:sz w:val="28"/>
          <w:szCs w:val="28"/>
          <w:highlight w:val="none"/>
          <w:lang w:val="en-US" w:eastAsia="zh-CN"/>
        </w:rPr>
        <w:t>17</w:t>
      </w:r>
      <w:r>
        <w:rPr>
          <w:rFonts w:hint="eastAsia" w:ascii="黑体" w:hAnsi="黑体" w:eastAsia="黑体" w:cs="黑体"/>
          <w:color w:val="9D0300"/>
          <w:sz w:val="28"/>
          <w:szCs w:val="28"/>
          <w:highlight w:val="none"/>
          <w:lang w:val="en-US" w:eastAsia="zh-CN"/>
        </w:rPr>
        <w:fldChar w:fldCharType="end"/>
      </w:r>
      <w:bookmarkStart w:id="73" w:name="_Toc5977"/>
      <w:r>
        <w:rPr>
          <w:rFonts w:hint="eastAsia" w:ascii="黑体" w:hAnsi="黑体" w:eastAsia="黑体" w:cs="黑体"/>
          <w:color w:val="9D0300"/>
          <w:sz w:val="28"/>
          <w:szCs w:val="28"/>
          <w:highlight w:val="none"/>
          <w:lang w:val="en-US" w:eastAsia="zh-CN"/>
        </w:rPr>
        <w:t xml:space="preserve"> </w:t>
      </w:r>
      <w:r>
        <w:rPr>
          <w:rFonts w:hint="eastAsia" w:ascii="黑体" w:hAnsi="黑体" w:cs="黑体"/>
          <w:color w:val="9D0300"/>
          <w:sz w:val="28"/>
          <w:szCs w:val="28"/>
          <w:highlight w:val="none"/>
          <w:lang w:val="en-US" w:eastAsia="zh-CN"/>
        </w:rPr>
        <w:t>四</w:t>
      </w:r>
      <w:r>
        <w:rPr>
          <w:rFonts w:hint="eastAsia" w:ascii="黑体" w:hAnsi="黑体" w:eastAsia="黑体" w:cs="黑体"/>
          <w:color w:val="9D0300"/>
          <w:sz w:val="28"/>
          <w:szCs w:val="28"/>
          <w:highlight w:val="none"/>
          <w:lang w:val="en-US" w:eastAsia="zh-CN"/>
        </w:rPr>
        <w:t>名“南丁格尔奖</w:t>
      </w:r>
      <w:r>
        <w:rPr>
          <w:rFonts w:hint="eastAsia" w:ascii="黑体" w:hAnsi="黑体" w:cs="黑体"/>
          <w:color w:val="9D0300"/>
          <w:sz w:val="28"/>
          <w:szCs w:val="28"/>
          <w:highlight w:val="none"/>
          <w:lang w:val="en-US" w:eastAsia="zh-CN"/>
        </w:rPr>
        <w:t>章</w:t>
      </w:r>
      <w:r>
        <w:rPr>
          <w:rFonts w:hint="eastAsia" w:ascii="黑体" w:hAnsi="黑体" w:eastAsia="黑体" w:cs="黑体"/>
          <w:color w:val="9D0300"/>
          <w:sz w:val="28"/>
          <w:szCs w:val="28"/>
          <w:highlight w:val="none"/>
          <w:lang w:val="en-US" w:eastAsia="zh-CN"/>
        </w:rPr>
        <w:t>”获得者出席</w:t>
      </w:r>
      <w:bookmarkStart w:id="74" w:name="_Toc17300"/>
      <w:r>
        <w:rPr>
          <w:rFonts w:hint="eastAsia" w:ascii="黑体" w:hAnsi="黑体" w:eastAsia="黑体" w:cs="黑体"/>
          <w:color w:val="9D0300"/>
          <w:sz w:val="28"/>
          <w:szCs w:val="28"/>
          <w:highlight w:val="none"/>
          <w:lang w:val="en-US" w:eastAsia="zh-CN"/>
        </w:rPr>
        <w:t>山东省莱阳卫生学校南丁格尔志愿服务队成立仪式</w:t>
      </w:r>
      <w:bookmarkEnd w:id="73"/>
      <w:bookmarkEnd w:id="74"/>
    </w:p>
    <w:p>
      <w:pPr>
        <w:pStyle w:val="26"/>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outlineLvl w:val="9"/>
        <w:rPr>
          <w:rFonts w:hint="eastAsia" w:ascii="黑体" w:hAnsi="黑体" w:eastAsia="黑体" w:cs="黑体"/>
          <w:color w:val="9D0300"/>
          <w:sz w:val="24"/>
          <w:szCs w:val="24"/>
          <w:highlight w:val="none"/>
          <w:lang w:val="en-US" w:eastAsia="zh-CN"/>
        </w:rPr>
      </w:pPr>
    </w:p>
    <w:bookmarkEnd w:id="72"/>
    <w:p>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textAlignment w:val="auto"/>
        <w:outlineLvl w:val="0"/>
        <w:rPr>
          <w:rFonts w:hint="eastAsia" w:ascii="黑体" w:hAnsi="黑体" w:eastAsia="黑体" w:cs="黑体"/>
          <w:color w:val="A20000"/>
          <w:sz w:val="36"/>
          <w:szCs w:val="36"/>
        </w:rPr>
      </w:pPr>
      <w:bookmarkStart w:id="75" w:name="_Toc21766"/>
      <w:r>
        <w:rPr>
          <w:rFonts w:hint="eastAsia" w:ascii="黑体" w:hAnsi="黑体" w:eastAsia="黑体" w:cs="黑体"/>
          <w:color w:val="A20000"/>
          <w:sz w:val="36"/>
          <w:szCs w:val="36"/>
        </w:rPr>
        <w:t>文化传承</w:t>
      </w:r>
      <w:bookmarkEnd w:id="75"/>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color w:val="A20000"/>
          <w:sz w:val="36"/>
          <w:szCs w:val="36"/>
        </w:rPr>
      </w:pPr>
      <w:r>
        <w:rPr>
          <w:rFonts w:hint="eastAsia" w:ascii="仿宋_GB2312" w:hAnsi="仿宋_GB2312" w:eastAsia="仿宋_GB2312" w:cs="仿宋_GB2312"/>
          <w:sz w:val="28"/>
          <w:szCs w:val="28"/>
        </w:rPr>
        <w:t>山东省莱阳卫生学校秉承“严谨求实，医精德诚”的校训，凝练打造了具有医学特色的“精诚”文化，赋予学生时代特色。在实践中，学校将“精诚文化”渗透到教育教学胶东红色文化、中华优秀传统文化等中华经典文化，和莱阳花饽饽、粽子、农产品等非遗技艺技能多渠道融合课程建设、课堂教学、社会实践和志愿活动，提升学生文化素养和文化意识。</w:t>
      </w:r>
    </w:p>
    <w:p>
      <w:pPr>
        <w:pStyle w:val="3"/>
        <w:keepNext/>
        <w:keepLines/>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color w:val="A20000"/>
          <w:sz w:val="30"/>
          <w:szCs w:val="30"/>
          <w:lang w:val="en-US" w:eastAsia="zh-CN"/>
        </w:rPr>
      </w:pPr>
      <w:r>
        <w:rPr>
          <w:rFonts w:hint="eastAsia" w:ascii="黑体" w:hAnsi="黑体" w:eastAsia="黑体" w:cs="黑体"/>
          <w:color w:val="A20000"/>
          <w:sz w:val="30"/>
          <w:szCs w:val="30"/>
          <w:lang w:val="en-US" w:eastAsia="zh-CN"/>
        </w:rPr>
        <w:t xml:space="preserve"> </w:t>
      </w:r>
      <w:bookmarkStart w:id="76" w:name="_Toc20013"/>
      <w:r>
        <w:rPr>
          <w:rFonts w:hint="eastAsia" w:ascii="黑体" w:hAnsi="黑体" w:eastAsia="黑体" w:cs="黑体"/>
          <w:color w:val="A20000"/>
          <w:sz w:val="30"/>
          <w:szCs w:val="30"/>
          <w:lang w:val="en-US" w:eastAsia="zh-CN"/>
        </w:rPr>
        <w:t>3.1传承中华经典文化</w:t>
      </w:r>
      <w:bookmarkEnd w:id="76"/>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lang w:val="en-US" w:eastAsia="zh-CN"/>
        </w:rPr>
      </w:pPr>
      <w:r>
        <w:rPr>
          <w:rFonts w:hint="eastAsia" w:ascii="仿宋_GB2312" w:hAnsi="仿宋_GB2312" w:eastAsia="仿宋_GB2312" w:cs="仿宋_GB2312"/>
          <w:b/>
          <w:bCs/>
          <w:color w:val="A20000"/>
          <w:sz w:val="28"/>
          <w:szCs w:val="28"/>
          <w:lang w:val="en-US" w:eastAsia="zh-CN"/>
        </w:rPr>
        <w:t>传承“大医精诚”文化。</w:t>
      </w:r>
      <w:r>
        <w:rPr>
          <w:rFonts w:hint="eastAsia" w:ascii="仿宋_GB2312" w:hAnsi="仿宋_GB2312" w:eastAsia="仿宋_GB2312" w:cs="仿宋_GB2312"/>
          <w:sz w:val="28"/>
          <w:szCs w:val="28"/>
        </w:rPr>
        <w:t>学校始终秉持“严谨求实</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医精德诚”的校训，积极探索德育工作新载体、新途径、新方法，以“精于心、诚于行”</w:t>
      </w:r>
      <w:r>
        <w:rPr>
          <w:rFonts w:hint="eastAsia" w:ascii="仿宋_GB2312" w:hAnsi="仿宋_GB2312" w:eastAsia="仿宋_GB2312" w:cs="仿宋_GB2312"/>
          <w:sz w:val="28"/>
          <w:szCs w:val="28"/>
          <w:lang w:val="en-US" w:eastAsia="zh-CN"/>
        </w:rPr>
        <w:t>的</w:t>
      </w:r>
      <w:r>
        <w:rPr>
          <w:rFonts w:hint="eastAsia" w:ascii="仿宋_GB2312" w:hAnsi="仿宋_GB2312" w:eastAsia="仿宋_GB2312" w:cs="仿宋_GB2312"/>
          <w:sz w:val="28"/>
          <w:szCs w:val="28"/>
        </w:rPr>
        <w:t>德育理念，形成</w:t>
      </w:r>
      <w:r>
        <w:rPr>
          <w:rFonts w:hint="eastAsia" w:ascii="仿宋_GB2312" w:hAnsi="仿宋_GB2312" w:eastAsia="仿宋_GB2312" w:cs="仿宋_GB2312"/>
          <w:sz w:val="28"/>
          <w:szCs w:val="28"/>
          <w:lang w:val="en-US" w:eastAsia="zh-CN"/>
        </w:rPr>
        <w:t>了</w:t>
      </w:r>
      <w:r>
        <w:rPr>
          <w:rFonts w:hint="eastAsia" w:ascii="仿宋_GB2312" w:hAnsi="仿宋_GB2312" w:eastAsia="仿宋_GB2312" w:cs="仿宋_GB2312"/>
          <w:sz w:val="28"/>
          <w:szCs w:val="28"/>
        </w:rPr>
        <w:t>“精·诚德育”文化品牌。发挥思政课主阵地作用，系统开发礼仪教育、晨唱晚诵、莱卫故事等课程资源，构建精·诚德育课程体系，融入到教育教学全过程。</w:t>
      </w:r>
      <w:r>
        <w:rPr>
          <w:rFonts w:hint="eastAsia" w:ascii="仿宋_GB2312" w:hAnsi="仿宋_GB2312" w:eastAsia="仿宋_GB2312" w:cs="仿宋_GB2312"/>
          <w:sz w:val="28"/>
          <w:szCs w:val="28"/>
          <w:lang w:val="en-US" w:eastAsia="zh-CN"/>
        </w:rPr>
        <w:t>全校</w:t>
      </w:r>
      <w:r>
        <w:rPr>
          <w:rFonts w:hint="eastAsia" w:ascii="仿宋_GB2312" w:hAnsi="仿宋_GB2312" w:eastAsia="仿宋_GB2312" w:cs="仿宋_GB2312"/>
          <w:sz w:val="28"/>
          <w:szCs w:val="28"/>
        </w:rPr>
        <w:t>开展</w:t>
      </w:r>
      <w:r>
        <w:rPr>
          <w:rFonts w:hint="eastAsia" w:ascii="仿宋_GB2312" w:hAnsi="仿宋_GB2312" w:eastAsia="仿宋_GB2312" w:cs="仿宋_GB2312"/>
          <w:sz w:val="28"/>
          <w:szCs w:val="28"/>
          <w:lang w:val="en-US" w:eastAsia="zh-CN"/>
        </w:rPr>
        <w:t>特色德育</w:t>
      </w:r>
      <w:r>
        <w:rPr>
          <w:rFonts w:hint="eastAsia" w:ascii="仿宋_GB2312" w:hAnsi="仿宋_GB2312" w:eastAsia="仿宋_GB2312" w:cs="仿宋_GB2312"/>
          <w:sz w:val="28"/>
          <w:szCs w:val="28"/>
        </w:rPr>
        <w:t>活动20余次，</w:t>
      </w:r>
      <w:r>
        <w:rPr>
          <w:rFonts w:hint="eastAsia" w:ascii="仿宋_GB2312" w:hAnsi="仿宋_GB2312" w:eastAsia="仿宋_GB2312" w:cs="仿宋_GB2312"/>
          <w:sz w:val="28"/>
          <w:szCs w:val="28"/>
          <w:lang w:val="en-US" w:eastAsia="zh-CN"/>
        </w:rPr>
        <w:t>包括5.12国际护士节、</w:t>
      </w:r>
      <w:r>
        <w:rPr>
          <w:rFonts w:hint="eastAsia" w:ascii="仿宋_GB2312" w:hAnsi="仿宋_GB2312" w:eastAsia="仿宋_GB2312" w:cs="仿宋_GB2312"/>
          <w:sz w:val="28"/>
          <w:szCs w:val="28"/>
        </w:rPr>
        <w:t>雷锋学习月、职教周、运动会、敬医敬学敬业礼</w:t>
      </w:r>
      <w:r>
        <w:rPr>
          <w:rFonts w:hint="eastAsia" w:ascii="仿宋_GB2312" w:hAnsi="仿宋_GB2312" w:eastAsia="仿宋_GB2312" w:cs="仿宋_GB2312"/>
          <w:sz w:val="28"/>
          <w:szCs w:val="28"/>
          <w:lang w:val="en-US" w:eastAsia="zh-CN"/>
        </w:rPr>
        <w:t>活动以及</w:t>
      </w:r>
      <w:r>
        <w:rPr>
          <w:rFonts w:hint="eastAsia" w:ascii="仿宋_GB2312" w:hAnsi="仿宋_GB2312" w:eastAsia="仿宋_GB2312" w:cs="仿宋_GB2312"/>
          <w:sz w:val="28"/>
          <w:szCs w:val="28"/>
        </w:rPr>
        <w:t>重大节日纪念日、中华传统节日等</w:t>
      </w:r>
      <w:r>
        <w:rPr>
          <w:rFonts w:hint="eastAsia" w:ascii="仿宋_GB2312" w:hAnsi="仿宋_GB2312" w:eastAsia="仿宋_GB2312" w:cs="仿宋_GB2312"/>
          <w:sz w:val="28"/>
          <w:szCs w:val="28"/>
          <w:lang w:val="en-US" w:eastAsia="zh-CN"/>
        </w:rPr>
        <w:t>系列</w:t>
      </w:r>
      <w:r>
        <w:rPr>
          <w:rFonts w:hint="eastAsia" w:ascii="仿宋_GB2312" w:hAnsi="仿宋_GB2312" w:eastAsia="仿宋_GB2312" w:cs="仿宋_GB2312"/>
          <w:sz w:val="28"/>
          <w:szCs w:val="28"/>
        </w:rPr>
        <w:t>活动，激励学生传承优秀传统文化，弘扬民族精神，培育精诚学子</w:t>
      </w:r>
      <w:r>
        <w:rPr>
          <w:rFonts w:hint="eastAsia" w:ascii="仿宋_GB2312" w:hAnsi="仿宋_GB2312" w:eastAsia="仿宋_GB2312" w:cs="仿宋_GB2312"/>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color w:val="A20000"/>
          <w:sz w:val="28"/>
          <w:szCs w:val="28"/>
          <w:lang w:val="en-US" w:eastAsia="zh-CN"/>
        </w:rPr>
        <w:t>传承红色经典文化。</w:t>
      </w:r>
      <w:r>
        <w:rPr>
          <w:rFonts w:hint="eastAsia" w:ascii="仿宋_GB2312" w:hAnsi="仿宋_GB2312" w:eastAsia="仿宋_GB2312" w:cs="仿宋_GB2312"/>
          <w:sz w:val="28"/>
          <w:szCs w:val="28"/>
        </w:rPr>
        <w:t>通过党建引领团建，促进中职学生全面发展，提升教育质量，培养具有社会责任感和良好职业素养的技能人才。党支部通过开展主题党日活动，引领团委建设，加强团员学生的思想政治教育，传承红色基因，践行红色使命。组建“杏林春莺”朗诵社，编写校本教材《党建好声音》，录制12期党史故事；组织开展“诵读中国”中华经典诵读大赛</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“传唱红色经典，弘扬爱国精神”合唱比赛</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发挥活动育人作用</w:t>
      </w:r>
      <w:r>
        <w:rPr>
          <w:rFonts w:hint="eastAsia" w:ascii="仿宋_GB2312" w:hAnsi="仿宋_GB2312" w:eastAsia="仿宋_GB2312" w:cs="仿宋_GB2312"/>
          <w:sz w:val="28"/>
          <w:szCs w:val="28"/>
        </w:rPr>
        <w:t>。音舞诗画《中医药，我愿一生追随你》参加全省展演并获省三等奖</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见图18</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。红色情景剧《信仰的力量》被选送到教育部文化素质委员会展演。</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color w:val="A20000"/>
          <w:sz w:val="28"/>
          <w:szCs w:val="28"/>
          <w:lang w:val="en-US" w:eastAsia="zh-CN"/>
        </w:rPr>
        <w:t>传承中华传统文化。</w:t>
      </w:r>
      <w:r>
        <w:rPr>
          <w:rFonts w:hint="eastAsia" w:ascii="仿宋_GB2312" w:hAnsi="仿宋_GB2312" w:eastAsia="仿宋_GB2312" w:cs="仿宋_GB2312"/>
          <w:sz w:val="28"/>
          <w:szCs w:val="28"/>
        </w:rPr>
        <w:t>螳螂拳发源莱阳</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是莱阳</w:t>
      </w:r>
      <w:r>
        <w:rPr>
          <w:rFonts w:hint="eastAsia" w:ascii="仿宋_GB2312" w:hAnsi="仿宋_GB2312" w:eastAsia="仿宋_GB2312" w:cs="仿宋_GB2312"/>
          <w:sz w:val="28"/>
          <w:szCs w:val="28"/>
        </w:rPr>
        <w:t>优秀传统文化，是国家非物质文化遗产、山东四大名拳之首</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学校结合地域文化特色，</w:t>
      </w:r>
      <w:r>
        <w:rPr>
          <w:rFonts w:hint="eastAsia" w:ascii="仿宋_GB2312" w:hAnsi="仿宋_GB2312" w:eastAsia="仿宋_GB2312" w:cs="仿宋_GB2312"/>
          <w:sz w:val="28"/>
          <w:szCs w:val="28"/>
        </w:rPr>
        <w:t>将螳螂拳引入校园</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成立螳螂拳社团，定期开展社团活动、展演活动，使学生在传承中华优秀文化中感受文化魅力，树立文化自信</w:t>
      </w:r>
      <w:r>
        <w:rPr>
          <w:rFonts w:hint="eastAsia" w:ascii="仿宋_GB2312" w:hAnsi="仿宋_GB2312" w:eastAsia="仿宋_GB2312" w:cs="仿宋_GB2312"/>
          <w:sz w:val="28"/>
          <w:szCs w:val="28"/>
        </w:rPr>
        <w:t>，让校园文化生活更加丰富多彩，为学生们健康成长</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各展其才搭建更好的平台，让传统文化魅力在校园里绽放。</w:t>
      </w:r>
    </w:p>
    <w:p>
      <w:pPr>
        <w:ind w:left="0" w:leftChars="0" w:firstLine="0" w:firstLineChars="0"/>
        <w:jc w:val="center"/>
        <w:rPr>
          <w:rFonts w:hint="eastAsia" w:ascii="宋体" w:hAnsi="宋体" w:eastAsia="宋体" w:cs="宋体"/>
          <w:sz w:val="28"/>
          <w:szCs w:val="28"/>
        </w:rPr>
      </w:pPr>
      <w:r>
        <w:rPr>
          <w:rFonts w:ascii="仿宋_GB2312" w:hAnsi="仿宋_GB2312" w:eastAsia="仿宋_GB2312" w:cs="仿宋_GB2312"/>
          <w:sz w:val="28"/>
          <w:szCs w:val="28"/>
        </w:rPr>
        <w:drawing>
          <wp:inline distT="0" distB="0" distL="114300" distR="114300">
            <wp:extent cx="5579745" cy="3711575"/>
            <wp:effectExtent l="0" t="0" r="1905" b="3175"/>
            <wp:docPr id="12" name="图片 8" descr="DJS_0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descr="DJS_0501"/>
                    <pic:cNvPicPr>
                      <a:picLocks noChangeAspect="1"/>
                    </pic:cNvPicPr>
                  </pic:nvPicPr>
                  <pic:blipFill>
                    <a:blip r:embed="rId26"/>
                    <a:stretch>
                      <a:fillRect/>
                    </a:stretch>
                  </pic:blipFill>
                  <pic:spPr>
                    <a:xfrm>
                      <a:off x="0" y="0"/>
                      <a:ext cx="5579745" cy="3711575"/>
                    </a:xfrm>
                    <a:prstGeom prst="rect">
                      <a:avLst/>
                    </a:prstGeom>
                    <a:noFill/>
                    <a:ln>
                      <a:noFill/>
                    </a:ln>
                  </pic:spPr>
                </pic:pic>
              </a:graphicData>
            </a:graphic>
          </wp:inline>
        </w:drawing>
      </w:r>
      <w:r>
        <w:rPr>
          <w:rFonts w:hint="eastAsia" w:ascii="宋体" w:hAnsi="宋体" w:eastAsia="宋体" w:cs="宋体"/>
          <w:sz w:val="28"/>
          <w:szCs w:val="28"/>
        </w:rPr>
        <w:t xml:space="preserve">        </w:t>
      </w:r>
    </w:p>
    <w:p>
      <w:pPr>
        <w:pStyle w:val="6"/>
        <w:ind w:left="0" w:leftChars="0" w:firstLine="0" w:firstLineChars="0"/>
        <w:jc w:val="center"/>
        <w:rPr>
          <w:rFonts w:hint="eastAsia" w:ascii="宋体" w:hAnsi="宋体" w:eastAsia="宋体" w:cs="宋体"/>
          <w:b w:val="0"/>
          <w:bCs/>
          <w:sz w:val="28"/>
          <w:szCs w:val="28"/>
        </w:rPr>
      </w:pPr>
      <w:r>
        <w:rPr>
          <w:rFonts w:hint="eastAsia" w:ascii="黑体" w:hAnsi="黑体" w:eastAsia="黑体" w:cs="黑体"/>
          <w:b w:val="0"/>
          <w:bCs/>
          <w:color w:val="9D0300"/>
          <w:kern w:val="2"/>
          <w:sz w:val="28"/>
          <w:szCs w:val="28"/>
          <w:highlight w:val="none"/>
          <w:lang w:val="en-US" w:eastAsia="zh-CN" w:bidi="ar-SA"/>
        </w:rPr>
        <w:t xml:space="preserve">图 </w:t>
      </w:r>
      <w:r>
        <w:rPr>
          <w:rFonts w:hint="eastAsia" w:ascii="黑体" w:hAnsi="黑体" w:eastAsia="黑体" w:cs="黑体"/>
          <w:b w:val="0"/>
          <w:bCs/>
          <w:color w:val="9D0300"/>
          <w:kern w:val="2"/>
          <w:sz w:val="28"/>
          <w:szCs w:val="28"/>
          <w:highlight w:val="none"/>
          <w:lang w:val="en-US" w:eastAsia="zh-CN" w:bidi="ar-SA"/>
        </w:rPr>
        <w:fldChar w:fldCharType="begin"/>
      </w:r>
      <w:r>
        <w:rPr>
          <w:rFonts w:hint="eastAsia" w:ascii="黑体" w:hAnsi="黑体" w:eastAsia="黑体" w:cs="黑体"/>
          <w:b w:val="0"/>
          <w:bCs/>
          <w:color w:val="9D0300"/>
          <w:kern w:val="2"/>
          <w:sz w:val="28"/>
          <w:szCs w:val="28"/>
          <w:highlight w:val="none"/>
          <w:lang w:val="en-US" w:eastAsia="zh-CN" w:bidi="ar-SA"/>
        </w:rPr>
        <w:instrText xml:space="preserve"> SEQ 图 \* ARABIC </w:instrText>
      </w:r>
      <w:r>
        <w:rPr>
          <w:rFonts w:hint="eastAsia" w:ascii="黑体" w:hAnsi="黑体" w:eastAsia="黑体" w:cs="黑体"/>
          <w:b w:val="0"/>
          <w:bCs/>
          <w:color w:val="9D0300"/>
          <w:kern w:val="2"/>
          <w:sz w:val="28"/>
          <w:szCs w:val="28"/>
          <w:highlight w:val="none"/>
          <w:lang w:val="en-US" w:eastAsia="zh-CN" w:bidi="ar-SA"/>
        </w:rPr>
        <w:fldChar w:fldCharType="separate"/>
      </w:r>
      <w:r>
        <w:rPr>
          <w:rFonts w:hint="eastAsia" w:ascii="黑体" w:hAnsi="黑体" w:eastAsia="黑体" w:cs="黑体"/>
          <w:b w:val="0"/>
          <w:bCs/>
          <w:color w:val="9D0300"/>
          <w:kern w:val="2"/>
          <w:sz w:val="28"/>
          <w:szCs w:val="28"/>
          <w:highlight w:val="none"/>
          <w:lang w:val="en-US" w:eastAsia="zh-CN" w:bidi="ar-SA"/>
        </w:rPr>
        <w:t>18</w:t>
      </w:r>
      <w:r>
        <w:rPr>
          <w:rFonts w:hint="eastAsia" w:ascii="黑体" w:hAnsi="黑体" w:eastAsia="黑体" w:cs="黑体"/>
          <w:b w:val="0"/>
          <w:bCs/>
          <w:color w:val="9D0300"/>
          <w:kern w:val="2"/>
          <w:sz w:val="28"/>
          <w:szCs w:val="28"/>
          <w:highlight w:val="none"/>
          <w:lang w:val="en-US" w:eastAsia="zh-CN" w:bidi="ar-SA"/>
        </w:rPr>
        <w:fldChar w:fldCharType="end"/>
      </w:r>
      <w:bookmarkStart w:id="77" w:name="_Toc1446"/>
      <w:r>
        <w:rPr>
          <w:rFonts w:hint="eastAsia" w:ascii="黑体" w:hAnsi="黑体" w:eastAsia="黑体" w:cs="黑体"/>
          <w:b w:val="0"/>
          <w:bCs/>
          <w:color w:val="9D0300"/>
          <w:kern w:val="2"/>
          <w:sz w:val="28"/>
          <w:szCs w:val="28"/>
          <w:highlight w:val="none"/>
          <w:lang w:val="en-US" w:eastAsia="zh-CN" w:bidi="ar-SA"/>
        </w:rPr>
        <w:t xml:space="preserve"> 学校参加山东省中医药文化活动</w:t>
      </w:r>
      <w:bookmarkEnd w:id="77"/>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8"/>
          <w:szCs w:val="28"/>
        </w:rPr>
      </w:pPr>
      <w:r>
        <w:rPr>
          <w:rFonts w:hint="eastAsia" w:ascii="华文新魏" w:hAnsi="华文新魏" w:eastAsia="华文新魏" w:cs="华文新魏"/>
          <w:b/>
          <w:bCs/>
          <w:color w:val="A20000"/>
          <w:sz w:val="32"/>
          <w:szCs w:val="32"/>
          <w:highlight w:val="none"/>
        </w:rPr>
        <w:t xml:space="preserve">案例 </w:t>
      </w:r>
      <w:r>
        <w:rPr>
          <w:rFonts w:hint="eastAsia" w:ascii="华文新魏" w:hAnsi="华文新魏" w:eastAsia="华文新魏" w:cs="华文新魏"/>
          <w:b/>
          <w:bCs/>
          <w:color w:val="A20000"/>
          <w:sz w:val="32"/>
          <w:szCs w:val="32"/>
          <w:highlight w:val="none"/>
        </w:rPr>
        <w:fldChar w:fldCharType="begin"/>
      </w:r>
      <w:r>
        <w:rPr>
          <w:rFonts w:hint="eastAsia" w:ascii="华文新魏" w:hAnsi="华文新魏" w:eastAsia="华文新魏" w:cs="华文新魏"/>
          <w:b/>
          <w:bCs/>
          <w:color w:val="A20000"/>
          <w:sz w:val="32"/>
          <w:szCs w:val="32"/>
          <w:highlight w:val="none"/>
        </w:rPr>
        <w:instrText xml:space="preserve"> SEQ 案例 \* ARABIC </w:instrText>
      </w:r>
      <w:r>
        <w:rPr>
          <w:rFonts w:hint="eastAsia" w:ascii="华文新魏" w:hAnsi="华文新魏" w:eastAsia="华文新魏" w:cs="华文新魏"/>
          <w:b/>
          <w:bCs/>
          <w:color w:val="A20000"/>
          <w:sz w:val="32"/>
          <w:szCs w:val="32"/>
          <w:highlight w:val="none"/>
        </w:rPr>
        <w:fldChar w:fldCharType="separate"/>
      </w:r>
      <w:r>
        <w:rPr>
          <w:rFonts w:hint="eastAsia" w:ascii="华文新魏" w:hAnsi="华文新魏" w:eastAsia="华文新魏" w:cs="华文新魏"/>
          <w:b/>
          <w:bCs/>
          <w:color w:val="A20000"/>
          <w:sz w:val="32"/>
          <w:szCs w:val="32"/>
          <w:highlight w:val="none"/>
        </w:rPr>
        <w:t>15</w:t>
      </w:r>
      <w:r>
        <w:rPr>
          <w:rFonts w:hint="eastAsia" w:ascii="华文新魏" w:hAnsi="华文新魏" w:eastAsia="华文新魏" w:cs="华文新魏"/>
          <w:b/>
          <w:bCs/>
          <w:color w:val="A20000"/>
          <w:sz w:val="32"/>
          <w:szCs w:val="32"/>
          <w:highlight w:val="none"/>
        </w:rPr>
        <w:fldChar w:fldCharType="end"/>
      </w:r>
      <w:bookmarkStart w:id="78" w:name="_Toc20635"/>
      <w:r>
        <w:rPr>
          <w:rFonts w:hint="eastAsia" w:ascii="华文新魏" w:hAnsi="华文新魏" w:eastAsia="华文新魏" w:cs="华文新魏"/>
          <w:b/>
          <w:bCs/>
          <w:color w:val="A20000"/>
          <w:sz w:val="32"/>
          <w:szCs w:val="32"/>
          <w:highlight w:val="none"/>
        </w:rPr>
        <w:t>：弘扬雷锋精神，践行社会主义核心价值观</w:t>
      </w:r>
      <w:bookmarkEnd w:id="78"/>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rPr>
      </w:pPr>
      <w:r>
        <w:rPr>
          <w:rFonts w:hint="eastAsia" w:ascii="楷体" w:hAnsi="楷体" w:eastAsia="楷体" w:cs="楷体"/>
          <w:sz w:val="28"/>
          <w:szCs w:val="28"/>
        </w:rPr>
        <w:t>山东省莱阳卫生学校开展了“学习雷锋精神，争做时代新人”主题系列活动。一是推出“党建好声音”跟着总书记学习二十大，把雷锋精神代代传承下去，开展“向雷锋同志学习”主题班团会，班主任领学雷锋日记，教育引导同学弘扬雷锋精神、争做时代新人。二是组织学生用五彩的画笔精心创作了一幅幅情真意切的手抄报，让“雷锋”这个响亮的名字走进了每一位青年学生的心，雷锋精神在他们心中竖起了丰碑。三是认真落实诵读社会主义核心价值观，组织观看电影《雷锋》，齐唱歌曲《学习雷锋好榜样》。四是学生科党支部推出“党建好声音”，跟着总书记学习二十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 w:hAnsi="楷体" w:eastAsia="楷体" w:cs="楷体"/>
          <w:sz w:val="28"/>
          <w:szCs w:val="28"/>
        </w:rPr>
      </w:pPr>
      <w:r>
        <w:rPr>
          <w:rFonts w:hint="eastAsia" w:ascii="楷体" w:hAnsi="楷体" w:eastAsia="楷体" w:cs="楷体"/>
          <w:sz w:val="28"/>
          <w:szCs w:val="28"/>
        </w:rPr>
        <w:t>师生诵读专题一把雷锋精神代代传承下去，诵读雷锋日记，感受雷锋精神。</w:t>
      </w:r>
    </w:p>
    <w:p>
      <w:pPr>
        <w:pStyle w:val="3"/>
        <w:keepNext/>
        <w:keepLines/>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color w:val="A20000"/>
          <w:sz w:val="30"/>
          <w:szCs w:val="30"/>
          <w:lang w:val="en-US" w:eastAsia="zh-CN"/>
        </w:rPr>
      </w:pPr>
      <w:bookmarkStart w:id="79" w:name="_Toc5504"/>
      <w:r>
        <w:rPr>
          <w:rFonts w:hint="eastAsia" w:ascii="黑体" w:hAnsi="黑体" w:eastAsia="黑体" w:cs="黑体"/>
          <w:color w:val="A20000"/>
          <w:sz w:val="30"/>
          <w:szCs w:val="30"/>
          <w:lang w:val="en-US" w:eastAsia="zh-CN"/>
        </w:rPr>
        <w:t>3.2非遗技艺技能</w:t>
      </w:r>
      <w:bookmarkEnd w:id="79"/>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color w:val="A20000"/>
          <w:sz w:val="28"/>
          <w:szCs w:val="28"/>
          <w:lang w:val="en-US" w:eastAsia="zh-CN"/>
        </w:rPr>
        <w:t>“胶东花饽饽”进校园。</w:t>
      </w:r>
      <w:r>
        <w:rPr>
          <w:rFonts w:hint="eastAsia" w:ascii="仿宋_GB2312" w:hAnsi="仿宋_GB2312" w:eastAsia="仿宋_GB2312" w:cs="仿宋_GB2312"/>
          <w:sz w:val="28"/>
          <w:szCs w:val="28"/>
          <w:lang w:val="en-US" w:eastAsia="zh-CN"/>
        </w:rPr>
        <w:t>学校开展了</w:t>
      </w:r>
      <w:r>
        <w:rPr>
          <w:rFonts w:hint="eastAsia" w:ascii="仿宋_GB2312" w:hAnsi="仿宋_GB2312" w:eastAsia="仿宋_GB2312" w:cs="仿宋_GB2312"/>
          <w:sz w:val="28"/>
          <w:szCs w:val="28"/>
        </w:rPr>
        <w:t>“匠心非遗—胶东花饽饽走进校园”活动，邀请莱阳花饽饽习俗</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市级非物质文化遗产项目代表性传承人刘少莉老师</w:t>
      </w:r>
      <w:r>
        <w:rPr>
          <w:rFonts w:hint="eastAsia" w:ascii="仿宋_GB2312" w:hAnsi="仿宋_GB2312" w:eastAsia="仿宋_GB2312" w:cs="仿宋_GB2312"/>
          <w:sz w:val="28"/>
          <w:szCs w:val="28"/>
          <w:lang w:val="en-US" w:eastAsia="zh-CN"/>
        </w:rPr>
        <w:t>入校为</w:t>
      </w:r>
      <w:r>
        <w:rPr>
          <w:rFonts w:hint="eastAsia" w:ascii="仿宋_GB2312" w:hAnsi="仿宋_GB2312" w:eastAsia="仿宋_GB2312" w:cs="仿宋_GB2312"/>
          <w:sz w:val="28"/>
          <w:szCs w:val="28"/>
        </w:rPr>
        <w:t>学生制作胶东花饽饽。</w:t>
      </w:r>
      <w:r>
        <w:rPr>
          <w:rFonts w:hint="eastAsia" w:ascii="仿宋_GB2312" w:hAnsi="仿宋_GB2312" w:eastAsia="仿宋_GB2312" w:cs="仿宋_GB2312"/>
          <w:sz w:val="28"/>
          <w:szCs w:val="28"/>
          <w:lang w:val="en-US" w:eastAsia="zh-CN"/>
        </w:rPr>
        <w:t>学生</w:t>
      </w:r>
      <w:r>
        <w:rPr>
          <w:rFonts w:hint="eastAsia" w:ascii="仿宋_GB2312" w:hAnsi="仿宋_GB2312" w:eastAsia="仿宋_GB2312" w:cs="仿宋_GB2312"/>
          <w:sz w:val="28"/>
          <w:szCs w:val="28"/>
        </w:rPr>
        <w:t>在制作过程中了解了花饽饽的悠久历史，感受到了花饽饽承载的深厚文化，感知到了劳动人民的智慧和创造力。学校还组织了非遗研学活动，带领同学们走进胶东花饽饽非遗基地，让同学们在观摩、解析、体验中切实感受到了非遗项目的文化内涵，进一步加深对非遗文化的理解，亲身感受非遗文化魅力。</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color w:val="A20000"/>
          <w:sz w:val="28"/>
          <w:szCs w:val="28"/>
          <w:lang w:val="en-US" w:eastAsia="zh-CN"/>
        </w:rPr>
        <w:t>“粽情飘香”进校园。</w:t>
      </w:r>
      <w:r>
        <w:rPr>
          <w:rFonts w:hint="eastAsia" w:ascii="仿宋_GB2312" w:hAnsi="仿宋_GB2312" w:eastAsia="仿宋_GB2312" w:cs="仿宋_GB2312"/>
          <w:sz w:val="28"/>
          <w:szCs w:val="28"/>
        </w:rPr>
        <w:t>为弘扬中华民族优秀传统文化，培养学生对非遗传承的兴趣爱好，以非遗课程、非遗社团为载体，让学生学习了解及传承中国优秀传统文化同时，引导同学们感受优秀传统文化所带来的独特美感和艺术价值。</w:t>
      </w:r>
      <w:r>
        <w:rPr>
          <w:rFonts w:hint="eastAsia" w:ascii="仿宋_GB2312" w:hAnsi="仿宋_GB2312" w:eastAsia="仿宋_GB2312" w:cs="仿宋_GB2312"/>
          <w:sz w:val="28"/>
          <w:szCs w:val="28"/>
          <w:lang w:val="en-US" w:eastAsia="zh-CN"/>
        </w:rPr>
        <w:t>学校开展包粽子活动</w:t>
      </w:r>
      <w:r>
        <w:rPr>
          <w:rFonts w:hint="eastAsia" w:ascii="仿宋_GB2312" w:hAnsi="仿宋_GB2312" w:eastAsia="仿宋_GB2312" w:cs="仿宋_GB2312"/>
          <w:sz w:val="28"/>
          <w:szCs w:val="28"/>
        </w:rPr>
        <w:t>了解端午节日起源、交流探讨各地端午文化习俗、感受传统节日的气息、追思爱国主义诗人屈原、分享劳动的喜悦。</w:t>
      </w:r>
    </w:p>
    <w:p>
      <w:pPr>
        <w:ind w:firstLine="640"/>
        <w:rPr>
          <w:rFonts w:ascii="仿宋_GB2312" w:hAnsi="仿宋_GB2312" w:eastAsia="仿宋_GB2312" w:cs="仿宋_GB2312"/>
          <w:sz w:val="28"/>
          <w:szCs w:val="28"/>
        </w:rPr>
      </w:pPr>
      <w:r>
        <w:rPr>
          <w:rFonts w:hint="eastAsia" w:ascii="仿宋_GB2312" w:hAnsi="仿宋_GB2312" w:eastAsia="仿宋_GB2312" w:cs="仿宋_GB2312"/>
          <w:b/>
          <w:bCs/>
          <w:color w:val="A20000"/>
          <w:sz w:val="28"/>
          <w:szCs w:val="28"/>
          <w:lang w:val="en-US" w:eastAsia="zh-CN"/>
        </w:rPr>
        <w:t>特色农产品进校园。</w:t>
      </w:r>
      <w:r>
        <w:rPr>
          <w:rFonts w:hint="eastAsia" w:ascii="仿宋_GB2312" w:hAnsi="仿宋_GB2312" w:eastAsia="仿宋_GB2312" w:cs="仿宋_GB2312"/>
          <w:sz w:val="28"/>
          <w:szCs w:val="28"/>
        </w:rPr>
        <w:t>“山东莱阳古梨树群系统”已被农业农村部认定为“中国重要农业文化遗产”，作为国家地理标志保护产品的莱阳梨，亦成为最受消费者喜爱的“好品山东”公共品牌。学校结合地方区域特色和文化特色，将梨文化引入校园，培养学生审美意识和文化自信。4项作品在烟台市中医药+新产品创意大赛中获奖，学校获烟台市中医药+新产品创意大赛优秀组织奖；作品《玉竹甘草慈梨膏》成功晋级山东省中医药文化科普决赛，荣获山东省二等奖和最具产业价值奖。</w:t>
      </w:r>
    </w:p>
    <w:p>
      <w:pPr>
        <w:keepNext w:val="0"/>
        <w:keepLines w:val="0"/>
        <w:pageBreakBefore w:val="0"/>
        <w:widowControl w:val="0"/>
        <w:kinsoku/>
        <w:wordWrap/>
        <w:overflowPunct/>
        <w:topLinePunct w:val="0"/>
        <w:autoSpaceDE/>
        <w:autoSpaceDN/>
        <w:bidi w:val="0"/>
        <w:adjustRightInd/>
        <w:snapToGrid/>
        <w:spacing w:before="0" w:after="0" w:line="560" w:lineRule="exact"/>
        <w:ind w:left="0" w:right="0" w:firstLine="560" w:firstLineChars="200"/>
        <w:jc w:val="both"/>
        <w:textAlignment w:val="auto"/>
        <w:rPr>
          <w:rFonts w:hint="eastAsia" w:ascii="仿宋_GB2312" w:hAnsi="仿宋_GB2312" w:eastAsia="仿宋_GB2312" w:cs="仿宋_GB2312"/>
          <w:sz w:val="28"/>
          <w:szCs w:val="28"/>
        </w:rPr>
      </w:pPr>
    </w:p>
    <w:p>
      <w:pPr>
        <w:spacing w:line="560" w:lineRule="exact"/>
        <w:ind w:firstLine="560" w:firstLineChars="200"/>
        <w:rPr>
          <w:rFonts w:hint="eastAsia" w:ascii="仿宋_GB2312" w:hAnsi="仿宋_GB2312" w:eastAsia="仿宋_GB2312" w:cs="仿宋_GB2312"/>
          <w:sz w:val="28"/>
          <w:szCs w:val="28"/>
          <w:lang w:eastAsia="zh-CN"/>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sz w:val="28"/>
          <w:szCs w:val="28"/>
        </w:rPr>
      </w:pPr>
      <w:r>
        <w:rPr>
          <w:rFonts w:ascii="Calibri" w:hAnsi="Calibri" w:eastAsia="宋体" w:cs="Times New Roman"/>
        </w:rPr>
        <w:drawing>
          <wp:inline distT="0" distB="0" distL="114300" distR="114300">
            <wp:extent cx="5579745" cy="3738245"/>
            <wp:effectExtent l="0" t="0" r="1905" b="14605"/>
            <wp:docPr id="25"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8"/>
                    <pic:cNvPicPr>
                      <a:picLocks noChangeAspect="1"/>
                    </pic:cNvPicPr>
                  </pic:nvPicPr>
                  <pic:blipFill>
                    <a:blip r:embed="rId27"/>
                    <a:stretch>
                      <a:fillRect/>
                    </a:stretch>
                  </pic:blipFill>
                  <pic:spPr>
                    <a:xfrm>
                      <a:off x="0" y="0"/>
                      <a:ext cx="5579745" cy="3738245"/>
                    </a:xfrm>
                    <a:prstGeom prst="rect">
                      <a:avLst/>
                    </a:prstGeom>
                    <a:noFill/>
                    <a:ln>
                      <a:noFill/>
                    </a:ln>
                  </pic:spPr>
                </pic:pic>
              </a:graphicData>
            </a:graphic>
          </wp:inline>
        </w:drawing>
      </w:r>
    </w:p>
    <w:p>
      <w:pPr>
        <w:pStyle w:val="6"/>
        <w:ind w:left="0" w:leftChars="0" w:firstLine="0" w:firstLineChars="0"/>
        <w:jc w:val="center"/>
        <w:rPr>
          <w:rFonts w:hint="eastAsia" w:ascii="黑体" w:hAnsi="黑体" w:eastAsia="黑体" w:cs="黑体"/>
          <w:b w:val="0"/>
          <w:bCs/>
          <w:color w:val="9D0300"/>
          <w:kern w:val="2"/>
          <w:sz w:val="28"/>
          <w:szCs w:val="28"/>
          <w:highlight w:val="none"/>
          <w:lang w:val="en-US" w:eastAsia="zh-CN" w:bidi="ar-SA"/>
        </w:rPr>
      </w:pPr>
      <w:r>
        <w:rPr>
          <w:rFonts w:hint="eastAsia" w:ascii="黑体" w:hAnsi="黑体" w:eastAsia="黑体" w:cs="黑体"/>
          <w:b w:val="0"/>
          <w:bCs/>
          <w:color w:val="9D0300"/>
          <w:kern w:val="2"/>
          <w:sz w:val="28"/>
          <w:szCs w:val="28"/>
          <w:highlight w:val="none"/>
          <w:lang w:val="en-US" w:eastAsia="zh-CN" w:bidi="ar-SA"/>
        </w:rPr>
        <w:t xml:space="preserve">图 </w:t>
      </w:r>
      <w:r>
        <w:rPr>
          <w:rFonts w:hint="eastAsia" w:ascii="黑体" w:hAnsi="黑体" w:eastAsia="黑体" w:cs="黑体"/>
          <w:b w:val="0"/>
          <w:bCs/>
          <w:color w:val="9D0300"/>
          <w:kern w:val="2"/>
          <w:sz w:val="28"/>
          <w:szCs w:val="28"/>
          <w:highlight w:val="none"/>
          <w:lang w:val="en-US" w:eastAsia="zh-CN" w:bidi="ar-SA"/>
        </w:rPr>
        <w:fldChar w:fldCharType="begin"/>
      </w:r>
      <w:r>
        <w:rPr>
          <w:rFonts w:hint="eastAsia" w:ascii="黑体" w:hAnsi="黑体" w:eastAsia="黑体" w:cs="黑体"/>
          <w:b w:val="0"/>
          <w:bCs/>
          <w:color w:val="9D0300"/>
          <w:kern w:val="2"/>
          <w:sz w:val="28"/>
          <w:szCs w:val="28"/>
          <w:highlight w:val="none"/>
          <w:lang w:val="en-US" w:eastAsia="zh-CN" w:bidi="ar-SA"/>
        </w:rPr>
        <w:instrText xml:space="preserve"> SEQ 图 \* ARABIC </w:instrText>
      </w:r>
      <w:r>
        <w:rPr>
          <w:rFonts w:hint="eastAsia" w:ascii="黑体" w:hAnsi="黑体" w:eastAsia="黑体" w:cs="黑体"/>
          <w:b w:val="0"/>
          <w:bCs/>
          <w:color w:val="9D0300"/>
          <w:kern w:val="2"/>
          <w:sz w:val="28"/>
          <w:szCs w:val="28"/>
          <w:highlight w:val="none"/>
          <w:lang w:val="en-US" w:eastAsia="zh-CN" w:bidi="ar-SA"/>
        </w:rPr>
        <w:fldChar w:fldCharType="separate"/>
      </w:r>
      <w:r>
        <w:rPr>
          <w:rFonts w:hint="eastAsia" w:ascii="黑体" w:hAnsi="黑体" w:eastAsia="黑体" w:cs="黑体"/>
          <w:b w:val="0"/>
          <w:bCs/>
          <w:color w:val="9D0300"/>
          <w:kern w:val="2"/>
          <w:sz w:val="28"/>
          <w:szCs w:val="28"/>
          <w:highlight w:val="none"/>
          <w:lang w:val="en-US" w:eastAsia="zh-CN" w:bidi="ar-SA"/>
        </w:rPr>
        <w:t>19</w:t>
      </w:r>
      <w:r>
        <w:rPr>
          <w:rFonts w:hint="eastAsia" w:ascii="黑体" w:hAnsi="黑体" w:eastAsia="黑体" w:cs="黑体"/>
          <w:b w:val="0"/>
          <w:bCs/>
          <w:color w:val="9D0300"/>
          <w:kern w:val="2"/>
          <w:sz w:val="28"/>
          <w:szCs w:val="28"/>
          <w:highlight w:val="none"/>
          <w:lang w:val="en-US" w:eastAsia="zh-CN" w:bidi="ar-SA"/>
        </w:rPr>
        <w:fldChar w:fldCharType="end"/>
      </w:r>
      <w:bookmarkStart w:id="80" w:name="_Toc6102"/>
      <w:r>
        <w:rPr>
          <w:rFonts w:hint="eastAsia" w:ascii="黑体" w:hAnsi="黑体" w:eastAsia="黑体" w:cs="黑体"/>
          <w:b w:val="0"/>
          <w:bCs/>
          <w:color w:val="9D0300"/>
          <w:kern w:val="2"/>
          <w:sz w:val="28"/>
          <w:szCs w:val="28"/>
          <w:highlight w:val="none"/>
          <w:lang w:val="en-US" w:eastAsia="zh-CN" w:bidi="ar-SA"/>
        </w:rPr>
        <w:t xml:space="preserve"> 学校举办非遗文化进校园活动</w:t>
      </w:r>
      <w:bookmarkEnd w:id="80"/>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华文新魏" w:hAnsi="华文新魏" w:eastAsia="华文新魏" w:cs="华文新魏"/>
          <w:b/>
          <w:bCs/>
          <w:color w:val="A20000"/>
          <w:sz w:val="32"/>
          <w:szCs w:val="32"/>
          <w:highlight w:val="none"/>
        </w:rPr>
      </w:pPr>
      <w:r>
        <w:rPr>
          <w:rFonts w:hint="eastAsia" w:ascii="华文新魏" w:hAnsi="华文新魏" w:eastAsia="华文新魏" w:cs="华文新魏"/>
          <w:b/>
          <w:bCs/>
          <w:color w:val="A20000"/>
          <w:sz w:val="32"/>
          <w:szCs w:val="32"/>
          <w:highlight w:val="none"/>
        </w:rPr>
        <w:t xml:space="preserve">案例 </w:t>
      </w:r>
      <w:r>
        <w:rPr>
          <w:rFonts w:hint="eastAsia" w:ascii="华文新魏" w:hAnsi="华文新魏" w:eastAsia="华文新魏" w:cs="华文新魏"/>
          <w:b/>
          <w:bCs/>
          <w:color w:val="A20000"/>
          <w:sz w:val="32"/>
          <w:szCs w:val="32"/>
          <w:highlight w:val="none"/>
        </w:rPr>
        <w:fldChar w:fldCharType="begin"/>
      </w:r>
      <w:r>
        <w:rPr>
          <w:rFonts w:hint="eastAsia" w:ascii="华文新魏" w:hAnsi="华文新魏" w:eastAsia="华文新魏" w:cs="华文新魏"/>
          <w:b/>
          <w:bCs/>
          <w:color w:val="A20000"/>
          <w:sz w:val="32"/>
          <w:szCs w:val="32"/>
          <w:highlight w:val="none"/>
        </w:rPr>
        <w:instrText xml:space="preserve"> SEQ 案例 \* ARABIC </w:instrText>
      </w:r>
      <w:r>
        <w:rPr>
          <w:rFonts w:hint="eastAsia" w:ascii="华文新魏" w:hAnsi="华文新魏" w:eastAsia="华文新魏" w:cs="华文新魏"/>
          <w:b/>
          <w:bCs/>
          <w:color w:val="A20000"/>
          <w:sz w:val="32"/>
          <w:szCs w:val="32"/>
          <w:highlight w:val="none"/>
        </w:rPr>
        <w:fldChar w:fldCharType="separate"/>
      </w:r>
      <w:r>
        <w:rPr>
          <w:rFonts w:hint="eastAsia" w:ascii="华文新魏" w:hAnsi="华文新魏" w:eastAsia="华文新魏" w:cs="华文新魏"/>
          <w:b/>
          <w:bCs/>
          <w:color w:val="A20000"/>
          <w:sz w:val="32"/>
          <w:szCs w:val="32"/>
          <w:highlight w:val="none"/>
        </w:rPr>
        <w:t>16</w:t>
      </w:r>
      <w:r>
        <w:rPr>
          <w:rFonts w:hint="eastAsia" w:ascii="华文新魏" w:hAnsi="华文新魏" w:eastAsia="华文新魏" w:cs="华文新魏"/>
          <w:b/>
          <w:bCs/>
          <w:color w:val="A20000"/>
          <w:sz w:val="32"/>
          <w:szCs w:val="32"/>
          <w:highlight w:val="none"/>
        </w:rPr>
        <w:fldChar w:fldCharType="end"/>
      </w:r>
      <w:bookmarkStart w:id="81" w:name="_Toc30778"/>
      <w:r>
        <w:rPr>
          <w:rFonts w:hint="eastAsia" w:ascii="华文新魏" w:hAnsi="华文新魏" w:eastAsia="华文新魏" w:cs="华文新魏"/>
          <w:b/>
          <w:bCs/>
          <w:color w:val="A20000"/>
          <w:sz w:val="32"/>
          <w:szCs w:val="32"/>
          <w:highlight w:val="none"/>
        </w:rPr>
        <w:t>：构建“画唱讲演”文化育人模式，培养崇德尚美知行合一的时代新人</w:t>
      </w:r>
      <w:bookmarkEnd w:id="81"/>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32"/>
          <w:szCs w:val="32"/>
        </w:rPr>
      </w:pPr>
      <w:r>
        <w:rPr>
          <w:rFonts w:hint="eastAsia" w:ascii="楷体" w:hAnsi="楷体" w:eastAsia="楷体" w:cs="楷体"/>
          <w:sz w:val="28"/>
          <w:szCs w:val="28"/>
          <w:lang w:val="en-US" w:eastAsia="zh-CN"/>
        </w:rPr>
        <w:t>山东省莱阳卫生学校</w:t>
      </w:r>
      <w:r>
        <w:rPr>
          <w:rFonts w:hint="eastAsia" w:ascii="楷体" w:hAnsi="楷体" w:eastAsia="楷体" w:cs="楷体"/>
          <w:sz w:val="28"/>
          <w:szCs w:val="28"/>
        </w:rPr>
        <w:t>大力发展素质教育，以社会主义核心价值观为引领，完善课程教学、实践活动、艺术展演“</w:t>
      </w:r>
      <w:r>
        <w:rPr>
          <w:rFonts w:hint="eastAsia" w:ascii="楷体" w:hAnsi="楷体" w:eastAsia="楷体" w:cs="楷体"/>
          <w:sz w:val="28"/>
          <w:szCs w:val="28"/>
          <w:lang w:val="en-US" w:eastAsia="zh-CN"/>
        </w:rPr>
        <w:t>三</w:t>
      </w:r>
      <w:r>
        <w:rPr>
          <w:rFonts w:hint="eastAsia" w:ascii="楷体" w:hAnsi="楷体" w:eastAsia="楷体" w:cs="楷体"/>
          <w:sz w:val="28"/>
          <w:szCs w:val="28"/>
        </w:rPr>
        <w:t>位一体”</w:t>
      </w:r>
      <w:r>
        <w:rPr>
          <w:rFonts w:hint="eastAsia" w:ascii="楷体" w:hAnsi="楷体" w:eastAsia="楷体" w:cs="楷体"/>
          <w:sz w:val="28"/>
          <w:szCs w:val="28"/>
          <w:lang w:val="en-US" w:eastAsia="zh-CN"/>
        </w:rPr>
        <w:t>文化</w:t>
      </w:r>
      <w:r>
        <w:rPr>
          <w:rFonts w:hint="eastAsia" w:ascii="楷体" w:hAnsi="楷体" w:eastAsia="楷体" w:cs="楷体"/>
          <w:sz w:val="28"/>
          <w:szCs w:val="28"/>
        </w:rPr>
        <w:t>教育推进机制，融通“思政课堂、专业课堂、匠心课堂、学生课堂”四大课堂，构建了</w:t>
      </w:r>
      <w:r>
        <w:rPr>
          <w:rFonts w:hint="eastAsia" w:ascii="楷体" w:hAnsi="楷体" w:eastAsia="楷体" w:cs="楷体"/>
          <w:sz w:val="28"/>
          <w:szCs w:val="28"/>
          <w:lang w:eastAsia="zh-CN"/>
        </w:rPr>
        <w:t>“</w:t>
      </w:r>
      <w:r>
        <w:rPr>
          <w:rFonts w:hint="eastAsia" w:ascii="楷体" w:hAnsi="楷体" w:eastAsia="楷体" w:cs="楷体"/>
          <w:sz w:val="28"/>
          <w:szCs w:val="28"/>
        </w:rPr>
        <w:t>画唱讲演</w:t>
      </w:r>
      <w:r>
        <w:rPr>
          <w:rFonts w:hint="eastAsia" w:ascii="楷体" w:hAnsi="楷体" w:eastAsia="楷体" w:cs="楷体"/>
          <w:sz w:val="28"/>
          <w:szCs w:val="28"/>
          <w:lang w:eastAsia="zh-CN"/>
        </w:rPr>
        <w:t>”</w:t>
      </w:r>
      <w:r>
        <w:rPr>
          <w:rFonts w:hint="eastAsia" w:ascii="楷体" w:hAnsi="楷体" w:eastAsia="楷体" w:cs="楷体"/>
          <w:sz w:val="28"/>
          <w:szCs w:val="28"/>
        </w:rPr>
        <w:t>文化育人模式。行走的红色展馆沉浸式体验</w:t>
      </w:r>
      <w:r>
        <w:rPr>
          <w:rFonts w:hint="eastAsia" w:ascii="楷体" w:hAnsi="楷体" w:eastAsia="楷体" w:cs="楷体"/>
          <w:sz w:val="28"/>
          <w:szCs w:val="28"/>
          <w:lang w:eastAsia="zh-CN"/>
        </w:rPr>
        <w:t>，</w:t>
      </w:r>
      <w:r>
        <w:rPr>
          <w:rFonts w:hint="eastAsia" w:ascii="楷体" w:hAnsi="楷体" w:eastAsia="楷体" w:cs="楷体"/>
          <w:sz w:val="28"/>
          <w:szCs w:val="28"/>
        </w:rPr>
        <w:t>英雄人物绘画线上线下展览；声乐大师课堂教唱红色歌曲，讲台舞台有机融合，形成了思政+艺术的特色校园文化品牌</w:t>
      </w:r>
      <w:r>
        <w:rPr>
          <w:rFonts w:hint="eastAsia" w:ascii="楷体" w:hAnsi="楷体" w:eastAsia="楷体" w:cs="楷体"/>
          <w:sz w:val="28"/>
          <w:szCs w:val="28"/>
          <w:lang w:eastAsia="zh-CN"/>
        </w:rPr>
        <w:t>；</w:t>
      </w:r>
      <w:r>
        <w:rPr>
          <w:rFonts w:hint="eastAsia" w:ascii="楷体" w:hAnsi="楷体" w:eastAsia="楷体" w:cs="楷体"/>
          <w:sz w:val="28"/>
          <w:szCs w:val="28"/>
        </w:rPr>
        <w:t>舞台上演绎红色家书，唱响红色经典、中华经典诵读，引导学生坚定理想信念，永远听党话、跟党走。创编演说经典项目《信仰的力量》成功入选职业院校文化“两创”成果展，被选送到教育部展演，展示了丰硕的育人成果。</w:t>
      </w:r>
    </w:p>
    <w:p>
      <w:pPr>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outlineLvl w:val="0"/>
        <w:rPr>
          <w:rFonts w:hint="eastAsia" w:ascii="黑体" w:hAnsi="黑体" w:eastAsia="黑体" w:cs="黑体"/>
          <w:color w:val="A20000"/>
          <w:sz w:val="36"/>
          <w:szCs w:val="36"/>
        </w:rPr>
      </w:pPr>
      <w:bookmarkStart w:id="82" w:name="_Toc28256"/>
      <w:r>
        <w:rPr>
          <w:rFonts w:hint="eastAsia" w:ascii="黑体" w:hAnsi="黑体" w:eastAsia="黑体" w:cs="黑体"/>
          <w:color w:val="A20000"/>
          <w:sz w:val="36"/>
          <w:szCs w:val="36"/>
        </w:rPr>
        <w:t>4.国际合作</w:t>
      </w:r>
      <w:bookmarkEnd w:id="82"/>
    </w:p>
    <w:p>
      <w:pPr>
        <w:ind w:firstLine="64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山东省莱阳卫生学校</w:t>
      </w:r>
      <w:r>
        <w:rPr>
          <w:rFonts w:hint="eastAsia" w:ascii="仿宋_GB2312" w:hAnsi="仿宋_GB2312" w:eastAsia="仿宋_GB2312" w:cs="仿宋_GB2312"/>
          <w:sz w:val="28"/>
          <w:szCs w:val="28"/>
        </w:rPr>
        <w:t>积极开展中外合作办学</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通过交流沟通，与韩国金泉大学签订了国际交流合作协议，双方将在师生交流、联合培养方面开展合作，与日本亚细亚教育投资株式会社签订护理和康复专业国际化人才培养协议，双方合作进行国际化人才培养，搭建学校国际交流合作平台。</w:t>
      </w:r>
    </w:p>
    <w:p>
      <w:pPr>
        <w:pStyle w:val="3"/>
        <w:keepNext/>
        <w:keepLines/>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color w:val="A20000"/>
          <w:sz w:val="30"/>
          <w:szCs w:val="30"/>
          <w:lang w:val="en-US" w:eastAsia="zh-CN"/>
        </w:rPr>
      </w:pPr>
      <w:bookmarkStart w:id="83" w:name="_Toc16809"/>
      <w:r>
        <w:rPr>
          <w:rFonts w:hint="eastAsia" w:ascii="黑体" w:hAnsi="黑体" w:eastAsia="黑体" w:cs="黑体"/>
          <w:color w:val="A20000"/>
          <w:sz w:val="30"/>
          <w:szCs w:val="30"/>
          <w:lang w:val="en-US" w:eastAsia="zh-CN"/>
        </w:rPr>
        <w:t>4.1交流平台</w:t>
      </w:r>
      <w:bookmarkEnd w:id="83"/>
    </w:p>
    <w:p>
      <w:pPr>
        <w:ind w:firstLine="640"/>
        <w:rPr>
          <w:rFonts w:hint="eastAsia" w:ascii="仿宋_GB2312" w:hAnsi="仿宋_GB2312" w:eastAsia="仿宋_GB2312" w:cs="仿宋_GB2312"/>
          <w:sz w:val="28"/>
          <w:szCs w:val="28"/>
        </w:rPr>
      </w:pPr>
      <w:r>
        <w:rPr>
          <w:rFonts w:hint="eastAsia" w:ascii="仿宋_GB2312" w:hAnsi="仿宋_GB2312" w:eastAsia="仿宋_GB2312" w:cs="仿宋_GB2312"/>
          <w:b/>
          <w:bCs/>
          <w:color w:val="A20000"/>
          <w:sz w:val="28"/>
          <w:szCs w:val="28"/>
          <w:lang w:val="en-US" w:eastAsia="zh-CN"/>
        </w:rPr>
        <w:t xml:space="preserve"> </w:t>
      </w:r>
      <w:r>
        <w:rPr>
          <w:rFonts w:hint="eastAsia" w:ascii="仿宋_GB2312" w:hAnsi="仿宋_GB2312" w:eastAsia="仿宋_GB2312" w:cs="仿宋_GB2312"/>
          <w:sz w:val="28"/>
          <w:szCs w:val="28"/>
          <w:lang w:val="en-US" w:eastAsia="zh-CN"/>
        </w:rPr>
        <w:t>山东省莱阳卫生学校</w:t>
      </w:r>
      <w:r>
        <w:rPr>
          <w:rFonts w:hint="eastAsia" w:ascii="仿宋_GB2312" w:hAnsi="仿宋_GB2312" w:eastAsia="仿宋_GB2312" w:cs="仿宋_GB2312"/>
          <w:sz w:val="28"/>
          <w:szCs w:val="28"/>
        </w:rPr>
        <w:t>积极贯彻上级政府部门关于职业教育提升中外合作办学能力的精神要求，积极开展中外合作办学，充分利用和韩国之间的地缘优势，与韩国金泉大学取得了联系，在前期多次沟通的基础上，开展了与韩国金泉大学之间的线上交流会谈</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双方之间加深了解，达成初步的合作意向，签订了国际交流合作协议，在教师交流学习、学分互认及联合进行学生培养等方面达成了合作意向，为学校与韩国高校之间开展交流学习奠定了基础。</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drawing>
          <wp:inline distT="0" distB="0" distL="0" distR="0">
            <wp:extent cx="5579745" cy="3738245"/>
            <wp:effectExtent l="0" t="0" r="1905" b="14605"/>
            <wp:docPr id="23" name="图片 23" descr="E:\工作资料\国际交流合作\2022年\韩国金泉大学线上国际会谈\DJS_4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资料\国际交流合作\2022年\韩国金泉大学线上国际会谈\DJS_481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5579745" cy="3738245"/>
                    </a:xfrm>
                    <a:prstGeom prst="rect">
                      <a:avLst/>
                    </a:prstGeom>
                    <a:noFill/>
                    <a:ln>
                      <a:noFill/>
                    </a:ln>
                  </pic:spPr>
                </pic:pic>
              </a:graphicData>
            </a:graphic>
          </wp:inline>
        </w:drawing>
      </w:r>
    </w:p>
    <w:p>
      <w:pPr>
        <w:pStyle w:val="6"/>
        <w:ind w:left="0" w:leftChars="0" w:firstLine="0" w:firstLineChars="0"/>
        <w:jc w:val="center"/>
        <w:rPr>
          <w:rFonts w:hint="eastAsia" w:ascii="仿宋_GB2312" w:hAnsi="仿宋_GB2312" w:eastAsia="仿宋_GB2312" w:cs="仿宋_GB2312"/>
          <w:b w:val="0"/>
          <w:bCs/>
          <w:sz w:val="28"/>
          <w:szCs w:val="28"/>
        </w:rPr>
      </w:pPr>
      <w:r>
        <w:rPr>
          <w:rFonts w:hint="eastAsia" w:ascii="黑体" w:hAnsi="黑体" w:eastAsia="黑体" w:cs="黑体"/>
          <w:b w:val="0"/>
          <w:bCs/>
          <w:color w:val="9D0300"/>
          <w:kern w:val="2"/>
          <w:sz w:val="28"/>
          <w:szCs w:val="28"/>
          <w:highlight w:val="none"/>
          <w:lang w:val="en-US" w:eastAsia="zh-CN" w:bidi="ar-SA"/>
        </w:rPr>
        <w:t xml:space="preserve">图 </w:t>
      </w:r>
      <w:r>
        <w:rPr>
          <w:rFonts w:hint="eastAsia" w:ascii="黑体" w:hAnsi="黑体" w:eastAsia="黑体" w:cs="黑体"/>
          <w:b w:val="0"/>
          <w:bCs/>
          <w:color w:val="9D0300"/>
          <w:kern w:val="2"/>
          <w:sz w:val="28"/>
          <w:szCs w:val="28"/>
          <w:highlight w:val="none"/>
          <w:lang w:val="en-US" w:eastAsia="zh-CN" w:bidi="ar-SA"/>
        </w:rPr>
        <w:fldChar w:fldCharType="begin"/>
      </w:r>
      <w:r>
        <w:rPr>
          <w:rFonts w:hint="eastAsia" w:ascii="黑体" w:hAnsi="黑体" w:eastAsia="黑体" w:cs="黑体"/>
          <w:b w:val="0"/>
          <w:bCs/>
          <w:color w:val="9D0300"/>
          <w:kern w:val="2"/>
          <w:sz w:val="28"/>
          <w:szCs w:val="28"/>
          <w:highlight w:val="none"/>
          <w:lang w:val="en-US" w:eastAsia="zh-CN" w:bidi="ar-SA"/>
        </w:rPr>
        <w:instrText xml:space="preserve"> SEQ 图 \* ARABIC </w:instrText>
      </w:r>
      <w:r>
        <w:rPr>
          <w:rFonts w:hint="eastAsia" w:ascii="黑体" w:hAnsi="黑体" w:eastAsia="黑体" w:cs="黑体"/>
          <w:b w:val="0"/>
          <w:bCs/>
          <w:color w:val="9D0300"/>
          <w:kern w:val="2"/>
          <w:sz w:val="28"/>
          <w:szCs w:val="28"/>
          <w:highlight w:val="none"/>
          <w:lang w:val="en-US" w:eastAsia="zh-CN" w:bidi="ar-SA"/>
        </w:rPr>
        <w:fldChar w:fldCharType="separate"/>
      </w:r>
      <w:r>
        <w:rPr>
          <w:rFonts w:hint="eastAsia" w:ascii="黑体" w:hAnsi="黑体" w:eastAsia="黑体" w:cs="黑体"/>
          <w:b w:val="0"/>
          <w:bCs/>
          <w:color w:val="9D0300"/>
          <w:kern w:val="2"/>
          <w:sz w:val="28"/>
          <w:szCs w:val="28"/>
          <w:highlight w:val="none"/>
          <w:lang w:val="en-US" w:eastAsia="zh-CN" w:bidi="ar-SA"/>
        </w:rPr>
        <w:t>20</w:t>
      </w:r>
      <w:r>
        <w:rPr>
          <w:rFonts w:hint="eastAsia" w:ascii="黑体" w:hAnsi="黑体" w:eastAsia="黑体" w:cs="黑体"/>
          <w:b w:val="0"/>
          <w:bCs/>
          <w:color w:val="9D0300"/>
          <w:kern w:val="2"/>
          <w:sz w:val="28"/>
          <w:szCs w:val="28"/>
          <w:highlight w:val="none"/>
          <w:lang w:val="en-US" w:eastAsia="zh-CN" w:bidi="ar-SA"/>
        </w:rPr>
        <w:fldChar w:fldCharType="end"/>
      </w:r>
      <w:bookmarkStart w:id="84" w:name="_Toc29062"/>
      <w:r>
        <w:rPr>
          <w:rFonts w:hint="eastAsia" w:ascii="黑体" w:hAnsi="黑体" w:cs="黑体"/>
          <w:b w:val="0"/>
          <w:bCs/>
          <w:color w:val="9D0300"/>
          <w:kern w:val="2"/>
          <w:sz w:val="28"/>
          <w:szCs w:val="28"/>
          <w:highlight w:val="none"/>
          <w:lang w:val="en-US" w:eastAsia="zh-CN" w:bidi="ar-SA"/>
        </w:rPr>
        <w:t xml:space="preserve"> </w:t>
      </w:r>
      <w:r>
        <w:rPr>
          <w:rFonts w:hint="eastAsia" w:ascii="黑体" w:hAnsi="黑体" w:eastAsia="黑体" w:cs="黑体"/>
          <w:b w:val="0"/>
          <w:bCs/>
          <w:color w:val="9D0300"/>
          <w:kern w:val="2"/>
          <w:sz w:val="28"/>
          <w:szCs w:val="28"/>
          <w:highlight w:val="none"/>
          <w:lang w:val="en-US" w:eastAsia="zh-CN" w:bidi="ar-SA"/>
        </w:rPr>
        <w:t>学校与韩国金泉大学线上交流会谈</w:t>
      </w:r>
      <w:bookmarkEnd w:id="84"/>
    </w:p>
    <w:p>
      <w:pPr>
        <w:pStyle w:val="6"/>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华文新魏" w:hAnsi="华文新魏" w:eastAsia="华文新魏" w:cs="华文新魏"/>
          <w:b/>
          <w:bCs/>
          <w:color w:val="A20000"/>
          <w:sz w:val="32"/>
          <w:szCs w:val="32"/>
          <w:highlight w:val="none"/>
          <w:lang w:val="en-US" w:eastAsia="zh-CN"/>
        </w:rPr>
      </w:pPr>
      <w:r>
        <w:rPr>
          <w:rFonts w:hint="eastAsia" w:ascii="华文新魏" w:hAnsi="华文新魏" w:eastAsia="华文新魏" w:cs="华文新魏"/>
          <w:b/>
          <w:bCs/>
          <w:color w:val="A20000"/>
          <w:sz w:val="32"/>
          <w:szCs w:val="32"/>
          <w:highlight w:val="none"/>
        </w:rPr>
        <w:t xml:space="preserve">案例 </w:t>
      </w:r>
      <w:r>
        <w:rPr>
          <w:rFonts w:hint="eastAsia" w:ascii="华文新魏" w:hAnsi="华文新魏" w:eastAsia="华文新魏" w:cs="华文新魏"/>
          <w:b/>
          <w:bCs/>
          <w:color w:val="A20000"/>
          <w:sz w:val="32"/>
          <w:szCs w:val="32"/>
          <w:highlight w:val="none"/>
        </w:rPr>
        <w:fldChar w:fldCharType="begin"/>
      </w:r>
      <w:r>
        <w:rPr>
          <w:rFonts w:hint="eastAsia" w:ascii="华文新魏" w:hAnsi="华文新魏" w:eastAsia="华文新魏" w:cs="华文新魏"/>
          <w:b/>
          <w:bCs/>
          <w:color w:val="A20000"/>
          <w:sz w:val="32"/>
          <w:szCs w:val="32"/>
          <w:highlight w:val="none"/>
        </w:rPr>
        <w:instrText xml:space="preserve"> SEQ 案例 \* ARABIC </w:instrText>
      </w:r>
      <w:r>
        <w:rPr>
          <w:rFonts w:hint="eastAsia" w:ascii="华文新魏" w:hAnsi="华文新魏" w:eastAsia="华文新魏" w:cs="华文新魏"/>
          <w:b/>
          <w:bCs/>
          <w:color w:val="A20000"/>
          <w:sz w:val="32"/>
          <w:szCs w:val="32"/>
          <w:highlight w:val="none"/>
        </w:rPr>
        <w:fldChar w:fldCharType="separate"/>
      </w:r>
      <w:r>
        <w:rPr>
          <w:rFonts w:hint="eastAsia" w:ascii="华文新魏" w:hAnsi="华文新魏" w:eastAsia="华文新魏" w:cs="华文新魏"/>
          <w:b/>
          <w:bCs/>
          <w:color w:val="A20000"/>
          <w:sz w:val="32"/>
          <w:szCs w:val="32"/>
          <w:highlight w:val="none"/>
        </w:rPr>
        <w:t>17</w:t>
      </w:r>
      <w:r>
        <w:rPr>
          <w:rFonts w:hint="eastAsia" w:ascii="华文新魏" w:hAnsi="华文新魏" w:eastAsia="华文新魏" w:cs="华文新魏"/>
          <w:b/>
          <w:bCs/>
          <w:color w:val="A20000"/>
          <w:sz w:val="32"/>
          <w:szCs w:val="32"/>
          <w:highlight w:val="none"/>
        </w:rPr>
        <w:fldChar w:fldCharType="end"/>
      </w:r>
      <w:bookmarkStart w:id="85" w:name="_Toc27711"/>
      <w:r>
        <w:rPr>
          <w:rFonts w:hint="eastAsia" w:ascii="华文新魏" w:hAnsi="华文新魏" w:eastAsia="华文新魏" w:cs="华文新魏"/>
          <w:b/>
          <w:bCs/>
          <w:color w:val="A20000"/>
          <w:sz w:val="32"/>
          <w:szCs w:val="32"/>
          <w:highlight w:val="none"/>
        </w:rPr>
        <w:t>：</w:t>
      </w:r>
      <w:r>
        <w:rPr>
          <w:rFonts w:hint="eastAsia" w:ascii="华文新魏" w:hAnsi="华文新魏" w:eastAsia="华文新魏" w:cs="华文新魏"/>
          <w:b/>
          <w:bCs/>
          <w:color w:val="A20000"/>
          <w:sz w:val="32"/>
          <w:szCs w:val="32"/>
          <w:highlight w:val="none"/>
          <w:lang w:val="en-US" w:eastAsia="zh-CN"/>
        </w:rPr>
        <w:t>张开飞翔翅膀</w:t>
      </w:r>
      <w:r>
        <w:rPr>
          <w:rFonts w:hint="eastAsia" w:ascii="华文新魏" w:hAnsi="华文新魏" w:eastAsia="华文新魏" w:cs="华文新魏"/>
          <w:b/>
          <w:bCs/>
          <w:color w:val="A20000"/>
          <w:sz w:val="32"/>
          <w:szCs w:val="32"/>
          <w:highlight w:val="none"/>
        </w:rPr>
        <w:t>，实现留学梦想</w:t>
      </w:r>
      <w:bookmarkEnd w:id="85"/>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楷体" w:hAnsi="楷体" w:eastAsia="楷体" w:cs="楷体"/>
          <w:szCs w:val="21"/>
        </w:rPr>
      </w:pPr>
      <w:r>
        <w:rPr>
          <w:rFonts w:hint="eastAsia" w:ascii="楷体" w:hAnsi="楷体" w:eastAsia="楷体" w:cs="楷体"/>
          <w:sz w:val="28"/>
          <w:szCs w:val="28"/>
        </w:rPr>
        <w:t>姜茜是</w:t>
      </w:r>
      <w:r>
        <w:rPr>
          <w:rFonts w:hint="eastAsia" w:ascii="楷体" w:hAnsi="楷体" w:eastAsia="楷体" w:cs="楷体"/>
          <w:sz w:val="28"/>
          <w:szCs w:val="28"/>
          <w:lang w:val="en-US" w:eastAsia="zh-CN"/>
        </w:rPr>
        <w:t>山东省莱阳卫生学校</w:t>
      </w:r>
      <w:r>
        <w:rPr>
          <w:rFonts w:hint="eastAsia" w:ascii="楷体" w:hAnsi="楷体" w:eastAsia="楷体" w:cs="楷体"/>
          <w:sz w:val="28"/>
          <w:szCs w:val="28"/>
        </w:rPr>
        <w:t>口腔技术专业的学生，入校后通过接受学校开展的专业教育，了解了口腔技术专业的相关情况及发展趋势，为了不断提高自身的专业技术水平，认真进行专业课程的学习，积极向老师请教相关的专业知识，并树立了毕业后继续进行求学深造的目标。她本来计划的是参加国内的升学考试，进入省内高等院校继续进行学习。后来，她通过学校的出国留学指导讲座了解了学校的韩国留学项目，并了解到韩国在口腔技术方面具有世界领先地位，她决定改变原来的计划，改为到韩国进行本科留学，参加了韩语学习培训，通过不断的努力，达到了出国留学条件，已经顺利到达韩国开始自己的留学生活。</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ascii="仿宋" w:hAnsi="仿宋" w:eastAsia="仿宋"/>
          <w:sz w:val="28"/>
          <w:szCs w:val="28"/>
        </w:rPr>
      </w:pPr>
      <w:r>
        <w:rPr>
          <w:rFonts w:hint="eastAsia" w:ascii="仿宋_GB2312" w:hAnsi="仿宋_GB2312" w:eastAsia="仿宋_GB2312" w:cs="仿宋_GB2312"/>
          <w:b/>
          <w:bCs/>
          <w:color w:val="A20000"/>
          <w:sz w:val="28"/>
          <w:szCs w:val="28"/>
          <w:lang w:val="en-US" w:eastAsia="zh-CN"/>
        </w:rPr>
        <w:t>搭建日本交流平台。</w:t>
      </w:r>
      <w:r>
        <w:rPr>
          <w:rFonts w:hint="eastAsia" w:ascii="仿宋_GB2312" w:hAnsi="仿宋_GB2312" w:eastAsia="仿宋_GB2312" w:cs="仿宋_GB2312"/>
          <w:sz w:val="28"/>
          <w:szCs w:val="28"/>
          <w:lang w:val="en-US" w:eastAsia="zh-CN"/>
        </w:rPr>
        <w:t>山东省莱阳卫生学校</w:t>
      </w:r>
      <w:r>
        <w:rPr>
          <w:rFonts w:hint="eastAsia" w:ascii="仿宋_GB2312" w:hAnsi="仿宋_GB2312" w:eastAsia="仿宋_GB2312" w:cs="仿宋_GB2312"/>
          <w:sz w:val="28"/>
          <w:szCs w:val="28"/>
        </w:rPr>
        <w:t>积极与日本的康复护理领域相关单位进行联系，与日本亚细亚教育投资株式会社签订了国际化康复及护理专业人才合作培养协议，双方联合进行国际护理及康复人才的培养，在人才培养模式、共建师资队伍等方面开展合作，对于经过培养符合条件的毕业生，推荐到日本的医疗单位就业发展，提升国际化办学水平。</w:t>
      </w:r>
      <w:r>
        <w:rPr>
          <w:rFonts w:hint="eastAsia" w:ascii="仿宋_GB2312" w:hAnsi="仿宋_GB2312" w:eastAsia="仿宋_GB2312" w:cs="仿宋_GB2312"/>
          <w:sz w:val="28"/>
          <w:szCs w:val="28"/>
          <w:lang w:val="en-US" w:eastAsia="zh-CN"/>
        </w:rPr>
        <w:t>期间，</w:t>
      </w:r>
      <w:r>
        <w:rPr>
          <w:rFonts w:hint="eastAsia" w:ascii="仿宋_GB2312" w:hAnsi="仿宋_GB2312" w:eastAsia="仿宋_GB2312" w:cs="仿宋_GB2312"/>
          <w:sz w:val="28"/>
          <w:szCs w:val="28"/>
        </w:rPr>
        <w:t>学校举行了康复护理专业中日线上交流培训会，邀请日本元气集团的专家介绍了日本康复治疗方面的发展情况，讲授日本康复治疗、训练领域的相关专业知识，拓宽了师生的国际视野。</w:t>
      </w:r>
    </w:p>
    <w:p>
      <w:pPr>
        <w:pStyle w:val="6"/>
        <w:jc w:val="left"/>
        <w:rPr>
          <w:rFonts w:hint="eastAsia" w:ascii="华文新魏" w:hAnsi="华文新魏" w:eastAsia="华文新魏" w:cs="华文新魏"/>
          <w:b/>
          <w:bCs/>
          <w:color w:val="A20000"/>
          <w:sz w:val="32"/>
          <w:szCs w:val="32"/>
          <w:highlight w:val="none"/>
          <w:lang w:val="en-US" w:eastAsia="zh-CN"/>
        </w:rPr>
      </w:pPr>
      <w:r>
        <w:rPr>
          <w:rFonts w:hint="eastAsia" w:ascii="华文新魏" w:hAnsi="华文新魏" w:eastAsia="华文新魏" w:cs="华文新魏"/>
          <w:b/>
          <w:bCs/>
          <w:color w:val="A20000"/>
          <w:sz w:val="32"/>
          <w:szCs w:val="32"/>
          <w:highlight w:val="none"/>
        </w:rPr>
        <w:t xml:space="preserve">案例 </w:t>
      </w:r>
      <w:r>
        <w:rPr>
          <w:rFonts w:hint="eastAsia" w:ascii="华文新魏" w:hAnsi="华文新魏" w:eastAsia="华文新魏" w:cs="华文新魏"/>
          <w:b/>
          <w:bCs/>
          <w:color w:val="A20000"/>
          <w:sz w:val="32"/>
          <w:szCs w:val="32"/>
          <w:highlight w:val="none"/>
        </w:rPr>
        <w:fldChar w:fldCharType="begin"/>
      </w:r>
      <w:r>
        <w:rPr>
          <w:rFonts w:hint="eastAsia" w:ascii="华文新魏" w:hAnsi="华文新魏" w:eastAsia="华文新魏" w:cs="华文新魏"/>
          <w:b/>
          <w:bCs/>
          <w:color w:val="A20000"/>
          <w:sz w:val="32"/>
          <w:szCs w:val="32"/>
          <w:highlight w:val="none"/>
        </w:rPr>
        <w:instrText xml:space="preserve"> SEQ 案例 \* ARABIC </w:instrText>
      </w:r>
      <w:r>
        <w:rPr>
          <w:rFonts w:hint="eastAsia" w:ascii="华文新魏" w:hAnsi="华文新魏" w:eastAsia="华文新魏" w:cs="华文新魏"/>
          <w:b/>
          <w:bCs/>
          <w:color w:val="A20000"/>
          <w:sz w:val="32"/>
          <w:szCs w:val="32"/>
          <w:highlight w:val="none"/>
        </w:rPr>
        <w:fldChar w:fldCharType="separate"/>
      </w:r>
      <w:r>
        <w:rPr>
          <w:rFonts w:hint="eastAsia" w:ascii="华文新魏" w:hAnsi="华文新魏" w:eastAsia="华文新魏" w:cs="华文新魏"/>
          <w:b/>
          <w:bCs/>
          <w:color w:val="A20000"/>
          <w:sz w:val="32"/>
          <w:szCs w:val="32"/>
          <w:highlight w:val="none"/>
        </w:rPr>
        <w:t>18</w:t>
      </w:r>
      <w:r>
        <w:rPr>
          <w:rFonts w:hint="eastAsia" w:ascii="华文新魏" w:hAnsi="华文新魏" w:eastAsia="华文新魏" w:cs="华文新魏"/>
          <w:b/>
          <w:bCs/>
          <w:color w:val="A20000"/>
          <w:sz w:val="32"/>
          <w:szCs w:val="32"/>
          <w:highlight w:val="none"/>
        </w:rPr>
        <w:fldChar w:fldCharType="end"/>
      </w:r>
      <w:bookmarkStart w:id="86" w:name="_Toc9212"/>
      <w:r>
        <w:rPr>
          <w:rFonts w:hint="eastAsia" w:ascii="华文新魏" w:hAnsi="华文新魏" w:eastAsia="华文新魏" w:cs="华文新魏"/>
          <w:b/>
          <w:bCs/>
          <w:color w:val="A20000"/>
          <w:sz w:val="32"/>
          <w:szCs w:val="32"/>
          <w:highlight w:val="none"/>
        </w:rPr>
        <w:t>：努力奋斗，圆梦日本留学</w:t>
      </w:r>
      <w:bookmarkEnd w:id="86"/>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楷体" w:hAnsi="楷体" w:eastAsia="楷体" w:cs="楷体"/>
          <w:sz w:val="28"/>
          <w:szCs w:val="28"/>
        </w:rPr>
      </w:pPr>
      <w:r>
        <w:rPr>
          <w:rFonts w:hint="eastAsia" w:ascii="楷体" w:hAnsi="楷体" w:eastAsia="楷体" w:cs="楷体"/>
          <w:sz w:val="28"/>
          <w:szCs w:val="28"/>
        </w:rPr>
        <w:t>梁恒瑞是</w:t>
      </w:r>
      <w:r>
        <w:rPr>
          <w:rFonts w:hint="eastAsia" w:ascii="楷体" w:hAnsi="楷体" w:eastAsia="楷体" w:cs="楷体"/>
          <w:sz w:val="28"/>
          <w:szCs w:val="28"/>
          <w:lang w:val="en-US" w:eastAsia="zh-CN"/>
        </w:rPr>
        <w:t>山东省莱阳卫生学校</w:t>
      </w:r>
      <w:r>
        <w:rPr>
          <w:rFonts w:hint="eastAsia" w:ascii="楷体" w:hAnsi="楷体" w:eastAsia="楷体" w:cs="楷体"/>
          <w:sz w:val="28"/>
          <w:szCs w:val="28"/>
        </w:rPr>
        <w:t>医学影像技术专业的学生，刚进入学校的时候，因为对职业学校不是很了解，对录取的专业不是很熟悉，导致对自身的职业发展没有找到准确的定位。后来通过学校的教育引导，梁恒瑞加深了对专业的了解，在参加了学校举行的赴日本留学说明会后，便确立了到日本大学留学的发展目标。梁恒瑞积极参加了学校举办的校内日语学习班，利用业余时间加强对日语的学习，遇到不明白的问题积极向老师请教，实习期间参加了校外日语学习培训，日语达到了出国留学水平，于2023年顺利达到日本开始留学。</w:t>
      </w:r>
    </w:p>
    <w:p>
      <w:pPr>
        <w:jc w:val="center"/>
        <w:rPr>
          <w:rFonts w:ascii="仿宋" w:hAnsi="仿宋" w:eastAsia="仿宋"/>
          <w:sz w:val="28"/>
          <w:szCs w:val="28"/>
        </w:rPr>
      </w:pPr>
      <w:r>
        <w:rPr>
          <w:rFonts w:ascii="仿宋" w:hAnsi="仿宋" w:eastAsia="仿宋"/>
          <w:sz w:val="28"/>
          <w:szCs w:val="28"/>
        </w:rPr>
        <w:drawing>
          <wp:inline distT="0" distB="0" distL="0" distR="0">
            <wp:extent cx="5579745" cy="3725545"/>
            <wp:effectExtent l="0" t="0" r="1905" b="825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5579745" cy="3725545"/>
                    </a:xfrm>
                    <a:prstGeom prst="rect">
                      <a:avLst/>
                    </a:prstGeom>
                    <a:noFill/>
                    <a:ln>
                      <a:noFill/>
                    </a:ln>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黑体" w:hAnsi="黑体" w:eastAsia="黑体" w:cs="黑体"/>
          <w:color w:val="9D0300"/>
          <w:sz w:val="28"/>
          <w:szCs w:val="28"/>
          <w:lang w:val="en-US" w:eastAsia="zh-CN"/>
        </w:rPr>
      </w:pPr>
      <w:bookmarkStart w:id="87" w:name="_Toc9824"/>
      <w:r>
        <w:rPr>
          <w:rFonts w:hint="eastAsia" w:ascii="黑体" w:hAnsi="黑体" w:eastAsia="黑体" w:cs="黑体"/>
          <w:color w:val="9D0300"/>
          <w:sz w:val="28"/>
          <w:szCs w:val="28"/>
          <w:lang w:val="en-US" w:eastAsia="zh-CN"/>
        </w:rPr>
        <w:t xml:space="preserve">图 </w:t>
      </w:r>
      <w:r>
        <w:rPr>
          <w:rFonts w:hint="eastAsia" w:ascii="黑体" w:hAnsi="黑体" w:eastAsia="黑体" w:cs="黑体"/>
          <w:color w:val="9D0300"/>
          <w:sz w:val="28"/>
          <w:szCs w:val="28"/>
          <w:lang w:val="en-US" w:eastAsia="zh-CN"/>
        </w:rPr>
        <w:fldChar w:fldCharType="begin"/>
      </w:r>
      <w:r>
        <w:rPr>
          <w:rFonts w:hint="eastAsia" w:ascii="黑体" w:hAnsi="黑体" w:eastAsia="黑体" w:cs="黑体"/>
          <w:color w:val="9D0300"/>
          <w:sz w:val="28"/>
          <w:szCs w:val="28"/>
          <w:lang w:val="en-US" w:eastAsia="zh-CN"/>
        </w:rPr>
        <w:instrText xml:space="preserve"> SEQ 图 \* ARABIC </w:instrText>
      </w:r>
      <w:r>
        <w:rPr>
          <w:rFonts w:hint="eastAsia" w:ascii="黑体" w:hAnsi="黑体" w:eastAsia="黑体" w:cs="黑体"/>
          <w:color w:val="9D0300"/>
          <w:sz w:val="28"/>
          <w:szCs w:val="28"/>
          <w:lang w:val="en-US" w:eastAsia="zh-CN"/>
        </w:rPr>
        <w:fldChar w:fldCharType="separate"/>
      </w:r>
      <w:r>
        <w:rPr>
          <w:rFonts w:hint="eastAsia" w:ascii="黑体" w:hAnsi="黑体" w:eastAsia="黑体" w:cs="黑体"/>
          <w:color w:val="9D0300"/>
          <w:sz w:val="28"/>
          <w:szCs w:val="28"/>
          <w:lang w:val="en-US" w:eastAsia="zh-CN"/>
        </w:rPr>
        <w:t>21</w:t>
      </w:r>
      <w:r>
        <w:rPr>
          <w:rFonts w:hint="eastAsia" w:ascii="黑体" w:hAnsi="黑体" w:eastAsia="黑体" w:cs="黑体"/>
          <w:color w:val="9D0300"/>
          <w:sz w:val="28"/>
          <w:szCs w:val="28"/>
          <w:lang w:val="en-US" w:eastAsia="zh-CN"/>
        </w:rPr>
        <w:fldChar w:fldCharType="end"/>
      </w:r>
      <w:bookmarkStart w:id="88" w:name="_Toc15100"/>
      <w:r>
        <w:rPr>
          <w:rFonts w:hint="eastAsia" w:ascii="黑体" w:hAnsi="黑体" w:cs="黑体"/>
          <w:color w:val="9D0300"/>
          <w:sz w:val="28"/>
          <w:szCs w:val="28"/>
          <w:lang w:val="en-US" w:eastAsia="zh-CN"/>
        </w:rPr>
        <w:t xml:space="preserve"> </w:t>
      </w:r>
      <w:r>
        <w:rPr>
          <w:rFonts w:hint="eastAsia" w:ascii="黑体" w:hAnsi="黑体" w:eastAsia="黑体" w:cs="黑体"/>
          <w:color w:val="9D0300"/>
          <w:sz w:val="28"/>
          <w:szCs w:val="28"/>
          <w:lang w:val="en-US" w:eastAsia="zh-CN"/>
        </w:rPr>
        <w:t>康复护理专业中日线上交流培训会</w:t>
      </w:r>
      <w:bookmarkEnd w:id="88"/>
    </w:p>
    <w:bookmarkEnd w:id="87"/>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color w:val="A20000"/>
          <w:sz w:val="28"/>
          <w:szCs w:val="28"/>
          <w:lang w:val="en-US" w:eastAsia="zh-CN"/>
        </w:rPr>
        <w:t>搭建线下交流平台。</w:t>
      </w:r>
      <w:r>
        <w:rPr>
          <w:rFonts w:hint="eastAsia" w:ascii="仿宋_GB2312" w:hAnsi="仿宋_GB2312" w:eastAsia="仿宋_GB2312" w:cs="仿宋_GB2312"/>
          <w:sz w:val="28"/>
          <w:szCs w:val="28"/>
          <w:lang w:val="en-US" w:eastAsia="zh-CN"/>
        </w:rPr>
        <w:t>山东省莱阳卫生学校在提升学校内涵的同时，不断加强国际交流与合作，逐步将师生推向国际舞台。2023年5月，</w:t>
      </w:r>
      <w:r>
        <w:rPr>
          <w:rFonts w:hint="eastAsia" w:ascii="仿宋_GB2312" w:hAnsi="仿宋_GB2312" w:eastAsia="仿宋_GB2312" w:cs="仿宋_GB2312"/>
          <w:sz w:val="28"/>
          <w:szCs w:val="28"/>
        </w:rPr>
        <w:t>学校</w:t>
      </w:r>
      <w:r>
        <w:rPr>
          <w:rFonts w:hint="eastAsia" w:ascii="仿宋_GB2312" w:hAnsi="仿宋_GB2312" w:eastAsia="仿宋_GB2312" w:cs="仿宋_GB2312"/>
          <w:sz w:val="28"/>
          <w:szCs w:val="28"/>
          <w:lang w:val="en-US" w:eastAsia="zh-CN"/>
        </w:rPr>
        <w:t>受邀参加</w:t>
      </w:r>
      <w:r>
        <w:rPr>
          <w:rFonts w:hint="eastAsia" w:ascii="仿宋_GB2312" w:hAnsi="仿宋_GB2312" w:eastAsia="仿宋_GB2312" w:cs="仿宋_GB2312"/>
          <w:sz w:val="28"/>
          <w:szCs w:val="28"/>
        </w:rPr>
        <w:t>山东省潍坊市举办的职业教育活动周全国启动仪式暨全国职业院校技能大赛开幕式</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学校</w:t>
      </w:r>
      <w:r>
        <w:rPr>
          <w:rFonts w:hint="eastAsia" w:ascii="仿宋_GB2312" w:hAnsi="仿宋_GB2312" w:eastAsia="仿宋_GB2312" w:cs="仿宋_GB2312"/>
          <w:sz w:val="28"/>
          <w:szCs w:val="28"/>
        </w:rPr>
        <w:t>围绕“数字平台支撑，校企项目引领，服务数字健康”主题，</w:t>
      </w:r>
      <w:r>
        <w:rPr>
          <w:rFonts w:hint="eastAsia" w:ascii="仿宋_GB2312" w:hAnsi="仿宋_GB2312" w:eastAsia="仿宋_GB2312" w:cs="仿宋_GB2312"/>
          <w:sz w:val="28"/>
          <w:szCs w:val="28"/>
          <w:lang w:val="en-US" w:eastAsia="zh-CN"/>
        </w:rPr>
        <w:t>在</w:t>
      </w:r>
      <w:r>
        <w:rPr>
          <w:rFonts w:hint="eastAsia" w:ascii="仿宋_GB2312" w:hAnsi="仿宋_GB2312" w:eastAsia="仿宋_GB2312" w:cs="仿宋_GB2312"/>
          <w:sz w:val="28"/>
          <w:szCs w:val="28"/>
        </w:rPr>
        <w:t>“中国式现代化道路上的职教力量”主题展览“一带一路”</w:t>
      </w:r>
      <w:r>
        <w:rPr>
          <w:rFonts w:hint="eastAsia" w:ascii="仿宋_GB2312" w:hAnsi="仿宋_GB2312" w:eastAsia="仿宋_GB2312" w:cs="仿宋_GB2312"/>
          <w:sz w:val="28"/>
          <w:szCs w:val="28"/>
          <w:lang w:val="en-US" w:eastAsia="zh-CN"/>
        </w:rPr>
        <w:t>板块</w:t>
      </w:r>
      <w:r>
        <w:rPr>
          <w:rFonts w:hint="eastAsia" w:ascii="仿宋_GB2312" w:hAnsi="仿宋_GB2312" w:eastAsia="仿宋_GB2312" w:cs="仿宋_GB2312"/>
          <w:sz w:val="28"/>
          <w:szCs w:val="28"/>
        </w:rPr>
        <w:t>展示学校的办学成果，吸引了</w:t>
      </w:r>
      <w:r>
        <w:rPr>
          <w:rFonts w:hint="eastAsia" w:ascii="仿宋_GB2312" w:hAnsi="仿宋_GB2312" w:eastAsia="仿宋_GB2312" w:cs="仿宋_GB2312"/>
          <w:sz w:val="28"/>
          <w:szCs w:val="28"/>
          <w:lang w:val="en-US" w:eastAsia="zh-CN"/>
        </w:rPr>
        <w:t>大批</w:t>
      </w:r>
      <w:r>
        <w:rPr>
          <w:rFonts w:hint="eastAsia" w:ascii="仿宋_GB2312" w:hAnsi="仿宋_GB2312" w:eastAsia="仿宋_GB2312" w:cs="仿宋_GB2312"/>
          <w:sz w:val="28"/>
          <w:szCs w:val="28"/>
        </w:rPr>
        <w:t>留学生前来参观交流学习。</w:t>
      </w:r>
      <w:r>
        <w:rPr>
          <w:rFonts w:hint="eastAsia" w:ascii="仿宋_GB2312" w:hAnsi="仿宋_GB2312" w:eastAsia="仿宋_GB2312" w:cs="仿宋_GB2312"/>
          <w:sz w:val="28"/>
          <w:szCs w:val="28"/>
          <w:lang w:val="en-US" w:eastAsia="zh-CN"/>
        </w:rPr>
        <w:t>2023年8月，</w:t>
      </w:r>
      <w:r>
        <w:rPr>
          <w:rFonts w:hint="eastAsia" w:ascii="仿宋_GB2312" w:hAnsi="仿宋_GB2312" w:eastAsia="仿宋_GB2312" w:cs="仿宋_GB2312"/>
          <w:sz w:val="28"/>
          <w:szCs w:val="28"/>
        </w:rPr>
        <w:t>学校</w:t>
      </w:r>
      <w:r>
        <w:rPr>
          <w:rFonts w:hint="eastAsia" w:ascii="仿宋_GB2312" w:hAnsi="仿宋_GB2312" w:eastAsia="仿宋_GB2312" w:cs="仿宋_GB2312"/>
          <w:sz w:val="28"/>
          <w:szCs w:val="28"/>
          <w:lang w:val="en-US" w:eastAsia="zh-CN"/>
        </w:rPr>
        <w:t>受邀</w:t>
      </w:r>
      <w:r>
        <w:rPr>
          <w:rFonts w:hint="eastAsia" w:ascii="仿宋_GB2312" w:hAnsi="仿宋_GB2312" w:eastAsia="仿宋_GB2312" w:cs="仿宋_GB2312"/>
          <w:sz w:val="28"/>
          <w:szCs w:val="28"/>
        </w:rPr>
        <w:t>参加2023年第七届中国山东·烟台国际康养产业博览会，</w:t>
      </w:r>
      <w:r>
        <w:rPr>
          <w:rFonts w:hint="eastAsia" w:ascii="仿宋_GB2312" w:hAnsi="仿宋_GB2312" w:eastAsia="仿宋_GB2312" w:cs="仿宋_GB2312"/>
          <w:sz w:val="28"/>
          <w:szCs w:val="28"/>
          <w:lang w:val="en-US" w:eastAsia="zh-CN"/>
        </w:rPr>
        <w:t>主动</w:t>
      </w:r>
      <w:r>
        <w:rPr>
          <w:rFonts w:hint="eastAsia" w:ascii="仿宋_GB2312" w:hAnsi="仿宋_GB2312" w:eastAsia="仿宋_GB2312" w:cs="仿宋_GB2312"/>
          <w:sz w:val="28"/>
          <w:szCs w:val="28"/>
        </w:rPr>
        <w:t>推动优质医养康养资源深度融合、区域合作、开放共享、聚力推进“医养健康强市”建设，展台吸引了络绎不绝的群众前来交流学习。</w:t>
      </w:r>
    </w:p>
    <w:p>
      <w:pPr>
        <w:jc w:val="center"/>
        <w:rPr>
          <w:rFonts w:hint="eastAsia" w:ascii="仿宋" w:hAnsi="仿宋" w:eastAsia="仿宋"/>
          <w:sz w:val="28"/>
          <w:szCs w:val="28"/>
        </w:rPr>
      </w:pPr>
      <w:r>
        <w:rPr>
          <w:rFonts w:hint="eastAsia"/>
        </w:rPr>
        <w:drawing>
          <wp:inline distT="0" distB="0" distL="114300" distR="114300">
            <wp:extent cx="5579745" cy="3719830"/>
            <wp:effectExtent l="0" t="0" r="1905" b="13970"/>
            <wp:docPr id="28" name="图片 28" descr="a1e42c450bfa7d1edba6a9dbe76e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a1e42c450bfa7d1edba6a9dbe76e370"/>
                    <pic:cNvPicPr>
                      <a:picLocks noChangeAspect="1"/>
                    </pic:cNvPicPr>
                  </pic:nvPicPr>
                  <pic:blipFill>
                    <a:blip r:embed="rId30"/>
                    <a:stretch>
                      <a:fillRect/>
                    </a:stretch>
                  </pic:blipFill>
                  <pic:spPr>
                    <a:xfrm>
                      <a:off x="0" y="0"/>
                      <a:ext cx="5579745" cy="3719830"/>
                    </a:xfrm>
                    <a:prstGeom prst="rect">
                      <a:avLst/>
                    </a:prstGeom>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黑体" w:hAnsi="黑体" w:eastAsia="黑体" w:cs="黑体"/>
          <w:color w:val="9D0300"/>
          <w:sz w:val="28"/>
          <w:szCs w:val="28"/>
          <w:lang w:val="en-US" w:eastAsia="zh-CN"/>
        </w:rPr>
      </w:pPr>
      <w:bookmarkStart w:id="89" w:name="_Toc10779"/>
      <w:r>
        <w:rPr>
          <w:rFonts w:hint="eastAsia" w:ascii="黑体" w:hAnsi="黑体" w:eastAsia="黑体" w:cs="黑体"/>
          <w:color w:val="9D0300"/>
          <w:sz w:val="28"/>
          <w:szCs w:val="28"/>
          <w:lang w:val="en-US" w:eastAsia="zh-CN"/>
        </w:rPr>
        <w:t xml:space="preserve">图 </w:t>
      </w:r>
      <w:r>
        <w:rPr>
          <w:rFonts w:hint="eastAsia" w:ascii="黑体" w:hAnsi="黑体" w:eastAsia="黑体" w:cs="黑体"/>
          <w:color w:val="9D0300"/>
          <w:sz w:val="28"/>
          <w:szCs w:val="28"/>
          <w:lang w:val="en-US" w:eastAsia="zh-CN"/>
        </w:rPr>
        <w:fldChar w:fldCharType="begin"/>
      </w:r>
      <w:r>
        <w:rPr>
          <w:rFonts w:hint="eastAsia" w:ascii="黑体" w:hAnsi="黑体" w:eastAsia="黑体" w:cs="黑体"/>
          <w:color w:val="9D0300"/>
          <w:sz w:val="28"/>
          <w:szCs w:val="28"/>
          <w:lang w:val="en-US" w:eastAsia="zh-CN"/>
        </w:rPr>
        <w:instrText xml:space="preserve"> SEQ 图 \* ARABIC </w:instrText>
      </w:r>
      <w:r>
        <w:rPr>
          <w:rFonts w:hint="eastAsia" w:ascii="黑体" w:hAnsi="黑体" w:eastAsia="黑体" w:cs="黑体"/>
          <w:color w:val="9D0300"/>
          <w:sz w:val="28"/>
          <w:szCs w:val="28"/>
          <w:lang w:val="en-US" w:eastAsia="zh-CN"/>
        </w:rPr>
        <w:fldChar w:fldCharType="separate"/>
      </w:r>
      <w:r>
        <w:rPr>
          <w:rFonts w:hint="eastAsia" w:ascii="黑体" w:hAnsi="黑体" w:eastAsia="黑体" w:cs="黑体"/>
          <w:color w:val="9D0300"/>
          <w:sz w:val="28"/>
          <w:szCs w:val="28"/>
          <w:lang w:val="en-US" w:eastAsia="zh-CN"/>
        </w:rPr>
        <w:t>22</w:t>
      </w:r>
      <w:r>
        <w:rPr>
          <w:rFonts w:hint="eastAsia" w:ascii="黑体" w:hAnsi="黑体" w:eastAsia="黑体" w:cs="黑体"/>
          <w:color w:val="9D0300"/>
          <w:sz w:val="28"/>
          <w:szCs w:val="28"/>
          <w:lang w:val="en-US" w:eastAsia="zh-CN"/>
        </w:rPr>
        <w:fldChar w:fldCharType="end"/>
      </w:r>
      <w:bookmarkStart w:id="90" w:name="_Toc9517"/>
      <w:r>
        <w:rPr>
          <w:rFonts w:hint="eastAsia" w:ascii="黑体" w:hAnsi="黑体" w:eastAsia="黑体" w:cs="黑体"/>
          <w:color w:val="9D0300"/>
          <w:sz w:val="28"/>
          <w:szCs w:val="28"/>
          <w:lang w:val="en-US" w:eastAsia="zh-CN"/>
        </w:rPr>
        <w:t xml:space="preserve"> 学校参加2023年职教周开幕式与留学生进行交流</w:t>
      </w:r>
      <w:bookmarkEnd w:id="90"/>
    </w:p>
    <w:bookmarkEnd w:id="89"/>
    <w:p>
      <w:pPr>
        <w:jc w:val="center"/>
        <w:rPr>
          <w:rFonts w:ascii="仿宋" w:hAnsi="仿宋" w:eastAsia="仿宋"/>
          <w:sz w:val="28"/>
          <w:szCs w:val="28"/>
        </w:rPr>
      </w:pPr>
      <w:r>
        <w:rPr>
          <w:rFonts w:hint="eastAsia"/>
        </w:rPr>
        <w:drawing>
          <wp:inline distT="0" distB="0" distL="114300" distR="114300">
            <wp:extent cx="5579745" cy="3442970"/>
            <wp:effectExtent l="0" t="0" r="1905" b="5080"/>
            <wp:docPr id="34" name="图片 34" descr="莱阳卫校出展2023中国山东（烟台）国际康养产业博览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莱阳卫校出展2023中国山东（烟台）国际康养产业博览会"/>
                    <pic:cNvPicPr>
                      <a:picLocks noChangeAspect="1"/>
                    </pic:cNvPicPr>
                  </pic:nvPicPr>
                  <pic:blipFill>
                    <a:blip r:embed="rId31"/>
                    <a:stretch>
                      <a:fillRect/>
                    </a:stretch>
                  </pic:blipFill>
                  <pic:spPr>
                    <a:xfrm>
                      <a:off x="0" y="0"/>
                      <a:ext cx="5579745" cy="3442970"/>
                    </a:xfrm>
                    <a:prstGeom prst="rect">
                      <a:avLst/>
                    </a:prstGeom>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黑体" w:hAnsi="黑体" w:eastAsia="黑体" w:cs="黑体"/>
          <w:color w:val="9D0300"/>
          <w:sz w:val="28"/>
          <w:szCs w:val="28"/>
          <w:lang w:val="en-US" w:eastAsia="zh-CN"/>
        </w:rPr>
      </w:pPr>
      <w:bookmarkStart w:id="91" w:name="_Toc9825"/>
      <w:r>
        <w:rPr>
          <w:rFonts w:hint="eastAsia" w:ascii="黑体" w:hAnsi="黑体" w:eastAsia="黑体" w:cs="黑体"/>
          <w:color w:val="9D0300"/>
          <w:sz w:val="28"/>
          <w:szCs w:val="28"/>
          <w:lang w:val="en-US" w:eastAsia="zh-CN"/>
        </w:rPr>
        <w:t xml:space="preserve">图 </w:t>
      </w:r>
      <w:r>
        <w:rPr>
          <w:rFonts w:hint="eastAsia" w:ascii="黑体" w:hAnsi="黑体" w:eastAsia="黑体" w:cs="黑体"/>
          <w:color w:val="9D0300"/>
          <w:sz w:val="28"/>
          <w:szCs w:val="28"/>
          <w:lang w:val="en-US" w:eastAsia="zh-CN"/>
        </w:rPr>
        <w:fldChar w:fldCharType="begin"/>
      </w:r>
      <w:r>
        <w:rPr>
          <w:rFonts w:hint="eastAsia" w:ascii="黑体" w:hAnsi="黑体" w:eastAsia="黑体" w:cs="黑体"/>
          <w:color w:val="9D0300"/>
          <w:sz w:val="28"/>
          <w:szCs w:val="28"/>
          <w:lang w:val="en-US" w:eastAsia="zh-CN"/>
        </w:rPr>
        <w:instrText xml:space="preserve"> SEQ 图 \* ARABIC </w:instrText>
      </w:r>
      <w:r>
        <w:rPr>
          <w:rFonts w:hint="eastAsia" w:ascii="黑体" w:hAnsi="黑体" w:eastAsia="黑体" w:cs="黑体"/>
          <w:color w:val="9D0300"/>
          <w:sz w:val="28"/>
          <w:szCs w:val="28"/>
          <w:lang w:val="en-US" w:eastAsia="zh-CN"/>
        </w:rPr>
        <w:fldChar w:fldCharType="separate"/>
      </w:r>
      <w:r>
        <w:rPr>
          <w:rFonts w:hint="eastAsia" w:ascii="黑体" w:hAnsi="黑体" w:eastAsia="黑体" w:cs="黑体"/>
          <w:color w:val="9D0300"/>
          <w:sz w:val="28"/>
          <w:szCs w:val="28"/>
          <w:lang w:val="en-US" w:eastAsia="zh-CN"/>
        </w:rPr>
        <w:t>23</w:t>
      </w:r>
      <w:r>
        <w:rPr>
          <w:rFonts w:hint="eastAsia" w:ascii="黑体" w:hAnsi="黑体" w:eastAsia="黑体" w:cs="黑体"/>
          <w:color w:val="9D0300"/>
          <w:sz w:val="28"/>
          <w:szCs w:val="28"/>
          <w:lang w:val="en-US" w:eastAsia="zh-CN"/>
        </w:rPr>
        <w:fldChar w:fldCharType="end"/>
      </w:r>
      <w:bookmarkStart w:id="92" w:name="_Toc708"/>
      <w:r>
        <w:rPr>
          <w:rFonts w:hint="eastAsia" w:ascii="黑体" w:hAnsi="黑体" w:cs="黑体"/>
          <w:color w:val="9D0300"/>
          <w:sz w:val="28"/>
          <w:szCs w:val="28"/>
          <w:lang w:val="en-US" w:eastAsia="zh-CN"/>
        </w:rPr>
        <w:t xml:space="preserve"> </w:t>
      </w:r>
      <w:r>
        <w:rPr>
          <w:rFonts w:hint="eastAsia" w:ascii="黑体" w:hAnsi="黑体" w:eastAsia="黑体" w:cs="黑体"/>
          <w:color w:val="9D0300"/>
          <w:sz w:val="28"/>
          <w:szCs w:val="28"/>
          <w:lang w:val="en-US" w:eastAsia="zh-CN"/>
        </w:rPr>
        <w:t>学校参加2023中国山东国际康养产业博览会</w:t>
      </w:r>
      <w:bookmarkEnd w:id="92"/>
    </w:p>
    <w:bookmarkEnd w:id="91"/>
    <w:p>
      <w:pPr>
        <w:pStyle w:val="3"/>
        <w:keepNext/>
        <w:keepLines/>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color w:val="A20000"/>
          <w:sz w:val="30"/>
          <w:szCs w:val="30"/>
          <w:lang w:val="en-US" w:eastAsia="zh-CN"/>
        </w:rPr>
      </w:pPr>
      <w:bookmarkStart w:id="93" w:name="_Toc11971"/>
      <w:r>
        <w:rPr>
          <w:rFonts w:hint="eastAsia" w:ascii="黑体" w:hAnsi="黑体" w:eastAsia="黑体" w:cs="黑体"/>
          <w:color w:val="A20000"/>
          <w:sz w:val="30"/>
          <w:szCs w:val="30"/>
          <w:lang w:val="en-US" w:eastAsia="zh-CN"/>
        </w:rPr>
        <w:t>4.2交流方式</w:t>
      </w:r>
      <w:bookmarkEnd w:id="93"/>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ascii="仿宋" w:hAnsi="仿宋" w:eastAsia="仿宋"/>
          <w:sz w:val="28"/>
          <w:szCs w:val="28"/>
        </w:rPr>
      </w:pPr>
      <w:r>
        <w:rPr>
          <w:rFonts w:hint="eastAsia" w:ascii="仿宋_GB2312" w:hAnsi="仿宋_GB2312" w:eastAsia="仿宋_GB2312" w:cs="仿宋_GB2312"/>
          <w:b/>
          <w:bCs/>
          <w:color w:val="A20000"/>
          <w:sz w:val="28"/>
          <w:szCs w:val="28"/>
          <w:lang w:val="en-US" w:eastAsia="zh-CN"/>
        </w:rPr>
        <w:t>开展专业培训交流。</w:t>
      </w:r>
      <w:r>
        <w:rPr>
          <w:rFonts w:hint="eastAsia" w:ascii="仿宋_GB2312" w:hAnsi="仿宋_GB2312" w:eastAsia="仿宋_GB2312" w:cs="仿宋_GB2312"/>
          <w:sz w:val="28"/>
          <w:szCs w:val="28"/>
          <w:lang w:val="en-US" w:eastAsia="zh-CN"/>
        </w:rPr>
        <w:t>山东省莱阳卫生学校于</w:t>
      </w:r>
      <w:r>
        <w:rPr>
          <w:rFonts w:hint="eastAsia" w:ascii="仿宋_GB2312" w:hAnsi="仿宋_GB2312" w:eastAsia="仿宋_GB2312" w:cs="仿宋_GB2312"/>
          <w:sz w:val="28"/>
          <w:szCs w:val="28"/>
        </w:rPr>
        <w:t>2022年与韩国金泉大学进行了国际交流会谈，双方进一步加深了了解，会后签订了国际交流合作协议，两校在教师交流学习、学生成绩学分互认及联合进行人培养等方面达成了合作意向，为两校开展国际交流合作打下了良好的基础。2023年4月，山东省莱阳卫生学校与金泉大学合作举办了中韩口腔技术专业线上交流培训会，口腔技术专业部分教师及学生共200多人参加，邀请韩国金泉大学齿技工专业的教授讲解了Implant Crown Design（植入牙冠设计）过程、Implant Studio（手术用导板制作过程）两部分内容。学校通过本次国际交流培训，帮助我校专业教师、学生加深了对相关专业知识的理解，拓宽了国际化视野，促进了教师、学生的专业成长。</w:t>
      </w:r>
    </w:p>
    <w:p>
      <w:pPr>
        <w:jc w:val="center"/>
        <w:rPr>
          <w:rFonts w:ascii="仿宋" w:hAnsi="仿宋" w:eastAsia="仿宋"/>
          <w:sz w:val="28"/>
          <w:szCs w:val="28"/>
        </w:rPr>
      </w:pPr>
      <w:r>
        <w:rPr>
          <w:rFonts w:ascii="仿宋" w:hAnsi="仿宋" w:eastAsia="仿宋"/>
          <w:sz w:val="28"/>
          <w:szCs w:val="28"/>
        </w:rPr>
        <w:drawing>
          <wp:inline distT="0" distB="0" distL="0" distR="0">
            <wp:extent cx="5579745" cy="3723005"/>
            <wp:effectExtent l="0" t="0" r="1905" b="10795"/>
            <wp:docPr id="9852754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275486" name="图片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5579745" cy="3723005"/>
                    </a:xfrm>
                    <a:prstGeom prst="rect">
                      <a:avLst/>
                    </a:prstGeom>
                    <a:noFill/>
                    <a:ln>
                      <a:noFill/>
                    </a:ln>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黑体" w:hAnsi="黑体" w:eastAsia="黑体" w:cs="黑体"/>
          <w:color w:val="9D0300"/>
          <w:sz w:val="28"/>
          <w:szCs w:val="28"/>
          <w:lang w:val="en-US" w:eastAsia="zh-CN"/>
        </w:rPr>
      </w:pPr>
      <w:bookmarkStart w:id="94" w:name="_Toc6755"/>
      <w:r>
        <w:rPr>
          <w:rFonts w:hint="eastAsia" w:ascii="黑体" w:hAnsi="黑体" w:eastAsia="黑体" w:cs="黑体"/>
          <w:color w:val="9D0300"/>
          <w:sz w:val="28"/>
          <w:szCs w:val="28"/>
          <w:lang w:val="en-US" w:eastAsia="zh-CN"/>
        </w:rPr>
        <w:t xml:space="preserve">图 </w:t>
      </w:r>
      <w:r>
        <w:rPr>
          <w:rFonts w:hint="eastAsia" w:ascii="黑体" w:hAnsi="黑体" w:eastAsia="黑体" w:cs="黑体"/>
          <w:color w:val="9D0300"/>
          <w:sz w:val="28"/>
          <w:szCs w:val="28"/>
          <w:lang w:val="en-US" w:eastAsia="zh-CN"/>
        </w:rPr>
        <w:fldChar w:fldCharType="begin"/>
      </w:r>
      <w:r>
        <w:rPr>
          <w:rFonts w:hint="eastAsia" w:ascii="黑体" w:hAnsi="黑体" w:eastAsia="黑体" w:cs="黑体"/>
          <w:color w:val="9D0300"/>
          <w:sz w:val="28"/>
          <w:szCs w:val="28"/>
          <w:lang w:val="en-US" w:eastAsia="zh-CN"/>
        </w:rPr>
        <w:instrText xml:space="preserve"> SEQ 图 \* ARABIC </w:instrText>
      </w:r>
      <w:r>
        <w:rPr>
          <w:rFonts w:hint="eastAsia" w:ascii="黑体" w:hAnsi="黑体" w:eastAsia="黑体" w:cs="黑体"/>
          <w:color w:val="9D0300"/>
          <w:sz w:val="28"/>
          <w:szCs w:val="28"/>
          <w:lang w:val="en-US" w:eastAsia="zh-CN"/>
        </w:rPr>
        <w:fldChar w:fldCharType="separate"/>
      </w:r>
      <w:r>
        <w:rPr>
          <w:rFonts w:hint="eastAsia" w:ascii="黑体" w:hAnsi="黑体" w:eastAsia="黑体" w:cs="黑体"/>
          <w:color w:val="9D0300"/>
          <w:sz w:val="28"/>
          <w:szCs w:val="28"/>
          <w:lang w:val="en-US" w:eastAsia="zh-CN"/>
        </w:rPr>
        <w:t>24</w:t>
      </w:r>
      <w:r>
        <w:rPr>
          <w:rFonts w:hint="eastAsia" w:ascii="黑体" w:hAnsi="黑体" w:eastAsia="黑体" w:cs="黑体"/>
          <w:color w:val="9D0300"/>
          <w:sz w:val="28"/>
          <w:szCs w:val="28"/>
          <w:lang w:val="en-US" w:eastAsia="zh-CN"/>
        </w:rPr>
        <w:fldChar w:fldCharType="end"/>
      </w:r>
      <w:bookmarkStart w:id="95" w:name="_Toc18048"/>
      <w:r>
        <w:rPr>
          <w:rFonts w:hint="eastAsia" w:ascii="黑体" w:hAnsi="黑体" w:cs="黑体"/>
          <w:color w:val="9D0300"/>
          <w:sz w:val="28"/>
          <w:szCs w:val="28"/>
          <w:lang w:val="en-US" w:eastAsia="zh-CN"/>
        </w:rPr>
        <w:t xml:space="preserve"> </w:t>
      </w:r>
      <w:r>
        <w:rPr>
          <w:rFonts w:hint="eastAsia" w:ascii="黑体" w:hAnsi="黑体" w:eastAsia="黑体" w:cs="黑体"/>
          <w:color w:val="9D0300"/>
          <w:sz w:val="28"/>
          <w:szCs w:val="28"/>
          <w:lang w:val="en-US" w:eastAsia="zh-CN"/>
        </w:rPr>
        <w:t>中韩口腔技术专业线上交流培训会</w:t>
      </w:r>
      <w:bookmarkEnd w:id="95"/>
    </w:p>
    <w:bookmarkEnd w:id="94"/>
    <w:p>
      <w:pPr>
        <w:ind w:firstLine="640"/>
        <w:rPr>
          <w:rFonts w:ascii="仿宋" w:hAnsi="仿宋" w:eastAsia="仿宋"/>
          <w:sz w:val="28"/>
          <w:szCs w:val="28"/>
        </w:rPr>
      </w:pPr>
      <w:r>
        <w:rPr>
          <w:rFonts w:hint="eastAsia" w:ascii="仿宋_GB2312" w:hAnsi="仿宋_GB2312" w:eastAsia="仿宋_GB2312" w:cs="仿宋_GB2312"/>
          <w:b/>
          <w:bCs/>
          <w:color w:val="A20000"/>
          <w:sz w:val="28"/>
          <w:szCs w:val="28"/>
          <w:lang w:val="en-US" w:eastAsia="zh-CN"/>
        </w:rPr>
        <w:t>进行教育资源输出。</w:t>
      </w:r>
      <w:r>
        <w:rPr>
          <w:rFonts w:hint="eastAsia" w:ascii="仿宋_GB2312" w:hAnsi="仿宋_GB2312" w:eastAsia="仿宋_GB2312" w:cs="仿宋_GB2312"/>
          <w:sz w:val="28"/>
          <w:szCs w:val="28"/>
          <w:lang w:val="en-US" w:eastAsia="zh-CN"/>
        </w:rPr>
        <w:t>山东省莱阳卫生学校于</w:t>
      </w:r>
      <w:r>
        <w:rPr>
          <w:rFonts w:hint="eastAsia" w:ascii="仿宋_GB2312" w:hAnsi="仿宋_GB2312" w:eastAsia="仿宋_GB2312" w:cs="仿宋_GB2312"/>
          <w:sz w:val="28"/>
          <w:szCs w:val="28"/>
        </w:rPr>
        <w:t>2022年经过与日本亚细亚教育投资株式会社的反复沟通，双方签订了国际化康复及护理人才合作培养协议书，双方同意进行国际护理及康复人才的培养，在人才培养模式、共建师资队伍等方面开展合作，对于经过培养符合条件的毕业生，推荐到日本的医疗单位就业发展。学校为了帮助到日本医疗相关单位工作的学生尽快熟悉当地的社会情况，尽快的适应当地的学习、工作和生活，同时为了帮助他们在日本工作期间能不断进行知识、技能的学习，经过会谈协商后达成协议，学校在日本的合作单位亚细亚教育投资株式会社设立学校海外教育培训中心，学校同时将开放的课程、实训等教育教学资源向海外教育培训中心开放，并为其使用教育教学资源提供服务和便利条件，满足了学生在日本期间学习的需要。</w:t>
      </w:r>
    </w:p>
    <w:p>
      <w:pPr>
        <w:jc w:val="center"/>
        <w:rPr>
          <w:rFonts w:ascii="仿宋" w:hAnsi="仿宋" w:eastAsia="仿宋"/>
          <w:sz w:val="28"/>
          <w:szCs w:val="28"/>
        </w:rPr>
      </w:pPr>
      <w:r>
        <w:drawing>
          <wp:inline distT="0" distB="0" distL="0" distR="0">
            <wp:extent cx="5579745" cy="3723005"/>
            <wp:effectExtent l="0" t="0" r="1905" b="10795"/>
            <wp:docPr id="146534320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343206" name="图片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5579745" cy="3723005"/>
                    </a:xfrm>
                    <a:prstGeom prst="rect">
                      <a:avLst/>
                    </a:prstGeom>
                    <a:noFill/>
                    <a:ln>
                      <a:noFill/>
                    </a:ln>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黑体" w:hAnsi="黑体" w:eastAsia="黑体" w:cs="黑体"/>
          <w:color w:val="9D0300"/>
          <w:sz w:val="28"/>
          <w:szCs w:val="28"/>
          <w:lang w:val="en-US" w:eastAsia="zh-CN"/>
        </w:rPr>
      </w:pPr>
      <w:bookmarkStart w:id="96" w:name="_Toc16392"/>
      <w:r>
        <w:rPr>
          <w:rFonts w:hint="eastAsia" w:ascii="黑体" w:hAnsi="黑体" w:eastAsia="黑体" w:cs="黑体"/>
          <w:color w:val="9D0300"/>
          <w:sz w:val="28"/>
          <w:szCs w:val="28"/>
          <w:lang w:val="en-US" w:eastAsia="zh-CN"/>
        </w:rPr>
        <w:t xml:space="preserve">图 </w:t>
      </w:r>
      <w:r>
        <w:rPr>
          <w:rFonts w:hint="eastAsia" w:ascii="黑体" w:hAnsi="黑体" w:eastAsia="黑体" w:cs="黑体"/>
          <w:color w:val="9D0300"/>
          <w:sz w:val="28"/>
          <w:szCs w:val="28"/>
          <w:lang w:val="en-US" w:eastAsia="zh-CN"/>
        </w:rPr>
        <w:fldChar w:fldCharType="begin"/>
      </w:r>
      <w:r>
        <w:rPr>
          <w:rFonts w:hint="eastAsia" w:ascii="黑体" w:hAnsi="黑体" w:eastAsia="黑体" w:cs="黑体"/>
          <w:color w:val="9D0300"/>
          <w:sz w:val="28"/>
          <w:szCs w:val="28"/>
          <w:lang w:val="en-US" w:eastAsia="zh-CN"/>
        </w:rPr>
        <w:instrText xml:space="preserve"> SEQ 图 \* ARABIC </w:instrText>
      </w:r>
      <w:r>
        <w:rPr>
          <w:rFonts w:hint="eastAsia" w:ascii="黑体" w:hAnsi="黑体" w:eastAsia="黑体" w:cs="黑体"/>
          <w:color w:val="9D0300"/>
          <w:sz w:val="28"/>
          <w:szCs w:val="28"/>
          <w:lang w:val="en-US" w:eastAsia="zh-CN"/>
        </w:rPr>
        <w:fldChar w:fldCharType="separate"/>
      </w:r>
      <w:r>
        <w:rPr>
          <w:rFonts w:hint="eastAsia" w:ascii="黑体" w:hAnsi="黑体" w:eastAsia="黑体" w:cs="黑体"/>
          <w:color w:val="9D0300"/>
          <w:sz w:val="28"/>
          <w:szCs w:val="28"/>
          <w:lang w:val="en-US" w:eastAsia="zh-CN"/>
        </w:rPr>
        <w:t>25</w:t>
      </w:r>
      <w:r>
        <w:rPr>
          <w:rFonts w:hint="eastAsia" w:ascii="黑体" w:hAnsi="黑体" w:eastAsia="黑体" w:cs="黑体"/>
          <w:color w:val="9D0300"/>
          <w:sz w:val="28"/>
          <w:szCs w:val="28"/>
          <w:lang w:val="en-US" w:eastAsia="zh-CN"/>
        </w:rPr>
        <w:fldChar w:fldCharType="end"/>
      </w:r>
      <w:bookmarkStart w:id="97" w:name="_Toc31077"/>
      <w:r>
        <w:rPr>
          <w:rFonts w:hint="eastAsia" w:ascii="黑体" w:hAnsi="黑体" w:eastAsia="黑体" w:cs="黑体"/>
          <w:color w:val="9D0300"/>
          <w:sz w:val="28"/>
          <w:szCs w:val="28"/>
          <w:lang w:val="en-US" w:eastAsia="zh-CN"/>
        </w:rPr>
        <w:t xml:space="preserve"> 海外教育培训中心成立会谈</w:t>
      </w:r>
      <w:bookmarkEnd w:id="97"/>
    </w:p>
    <w:bookmarkEnd w:id="96"/>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default" w:ascii="仿宋" w:hAnsi="仿宋" w:eastAsia="仿宋"/>
          <w:sz w:val="28"/>
          <w:szCs w:val="28"/>
          <w:lang w:val="en-US" w:eastAsia="zh-CN"/>
        </w:rPr>
      </w:pPr>
      <w:r>
        <w:rPr>
          <w:rFonts w:hint="eastAsia" w:ascii="仿宋_GB2312" w:hAnsi="仿宋_GB2312" w:eastAsia="仿宋_GB2312" w:cs="仿宋_GB2312"/>
          <w:b/>
          <w:bCs/>
          <w:color w:val="A20000"/>
          <w:sz w:val="28"/>
          <w:szCs w:val="28"/>
          <w:lang w:val="en-US" w:eastAsia="zh-CN"/>
        </w:rPr>
        <w:t>通过大赛交流学习。</w:t>
      </w:r>
      <w:r>
        <w:rPr>
          <w:rFonts w:hint="eastAsia" w:ascii="仿宋_GB2312" w:hAnsi="仿宋_GB2312" w:eastAsia="仿宋_GB2312" w:cs="仿宋_GB2312"/>
          <w:sz w:val="28"/>
          <w:szCs w:val="28"/>
          <w:lang w:val="en-US" w:eastAsia="zh-CN"/>
        </w:rPr>
        <w:t>山东省莱阳卫生学校</w:t>
      </w:r>
      <w:r>
        <w:rPr>
          <w:rFonts w:hint="eastAsia" w:ascii="仿宋_GB2312" w:hAnsi="仿宋_GB2312" w:eastAsia="仿宋_GB2312" w:cs="仿宋_GB2312"/>
          <w:sz w:val="28"/>
          <w:szCs w:val="28"/>
        </w:rPr>
        <w:t>积极开展国际间交流合作，不断拓宽国际交流合作的形式。由金砖国家工商理事会中方理事会、一带一路暨金砖国家技能发展国际联盟、中国科协一带一路暨金砖国家技能发展与技术创新培训、中国发明协会、教育部中外人文交流中心等单位联合主办的“2023一带一路暨金砖国家技能发展与技术创新大赛首届校园急救与救护技术决赛”</w:t>
      </w:r>
      <w:r>
        <w:rPr>
          <w:rFonts w:hint="eastAsia" w:ascii="仿宋_GB2312" w:hAnsi="仿宋_GB2312" w:eastAsia="仿宋_GB2312" w:cs="仿宋_GB2312"/>
          <w:sz w:val="28"/>
          <w:szCs w:val="28"/>
          <w:lang w:val="en-US" w:eastAsia="zh-CN"/>
        </w:rPr>
        <w:t>将在下半年举行</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学校通过选拔团队、搭建机构、优化方案、大赛训练等方式积极准备参加比赛2023一带一路暨金砖国家技能发展与技术创新大赛首届校园急救与救护技术决赛。</w:t>
      </w:r>
    </w:p>
    <w:p>
      <w:pPr>
        <w:pStyle w:val="3"/>
        <w:keepNext/>
        <w:keepLines/>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color w:val="A20000"/>
          <w:sz w:val="30"/>
          <w:szCs w:val="30"/>
          <w:lang w:val="en-US" w:eastAsia="zh-CN"/>
        </w:rPr>
      </w:pPr>
      <w:bookmarkStart w:id="98" w:name="_Toc28800"/>
      <w:r>
        <w:rPr>
          <w:rFonts w:hint="eastAsia" w:ascii="黑体" w:hAnsi="黑体" w:eastAsia="黑体" w:cs="黑体"/>
          <w:color w:val="A20000"/>
          <w:sz w:val="30"/>
          <w:szCs w:val="30"/>
          <w:lang w:val="en-US" w:eastAsia="zh-CN"/>
        </w:rPr>
        <w:t>4.3职业教育走出去</w:t>
      </w:r>
      <w:bookmarkEnd w:id="98"/>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学校积极响应国家“一带一路”建设倡议，与日本合作单位亚细亚教育投资株式会社设立了学校海外教育培训中心，以便为到日本留学、就业的同学提供学习培训服务。学校将开放的课程、实训等教育教学资源向海外教育培训中心开放，并为其使用教育教学资源提供服务和便利条件，满足了学生在日本期间学习的需要。8名学生成功出国留学和工作。</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579745" cy="2717800"/>
            <wp:effectExtent l="0" t="0" r="1905" b="6350"/>
            <wp:docPr id="2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descr="IMG_256"/>
                    <pic:cNvPicPr>
                      <a:picLocks noChangeAspect="1"/>
                    </pic:cNvPicPr>
                  </pic:nvPicPr>
                  <pic:blipFill>
                    <a:blip r:embed="rId34"/>
                    <a:stretch>
                      <a:fillRect/>
                    </a:stretch>
                  </pic:blipFill>
                  <pic:spPr>
                    <a:xfrm>
                      <a:off x="0" y="0"/>
                      <a:ext cx="5579745" cy="2717800"/>
                    </a:xfrm>
                    <a:prstGeom prst="rect">
                      <a:avLst/>
                    </a:prstGeom>
                    <a:noFill/>
                    <a:ln w="9525">
                      <a:noFill/>
                    </a:ln>
                  </pic:spPr>
                </pic:pic>
              </a:graphicData>
            </a:graphic>
          </wp:inline>
        </w:drawing>
      </w:r>
    </w:p>
    <w:p>
      <w:pPr>
        <w:pStyle w:val="6"/>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黑体" w:hAnsi="黑体" w:eastAsia="黑体" w:cs="黑体"/>
          <w:b w:val="0"/>
          <w:bCs/>
          <w:color w:val="9D0300"/>
          <w:sz w:val="28"/>
          <w:szCs w:val="28"/>
          <w:highlight w:val="none"/>
          <w:lang w:val="en-US" w:eastAsia="zh-CN"/>
        </w:rPr>
      </w:pPr>
      <w:bookmarkStart w:id="99" w:name="_Toc30171"/>
      <w:r>
        <w:rPr>
          <w:rFonts w:hint="eastAsia" w:ascii="黑体" w:hAnsi="黑体" w:eastAsia="黑体" w:cs="黑体"/>
          <w:b w:val="0"/>
          <w:bCs/>
          <w:color w:val="9D0300"/>
          <w:sz w:val="28"/>
          <w:szCs w:val="28"/>
          <w:highlight w:val="none"/>
          <w:lang w:val="en-US" w:eastAsia="zh-CN"/>
        </w:rPr>
        <w:t xml:space="preserve">图 </w:t>
      </w:r>
      <w:r>
        <w:rPr>
          <w:rFonts w:hint="eastAsia" w:ascii="黑体" w:hAnsi="黑体" w:eastAsia="黑体" w:cs="黑体"/>
          <w:b w:val="0"/>
          <w:bCs/>
          <w:color w:val="9D0300"/>
          <w:sz w:val="28"/>
          <w:szCs w:val="28"/>
          <w:highlight w:val="none"/>
          <w:lang w:val="en-US" w:eastAsia="zh-CN"/>
        </w:rPr>
        <w:fldChar w:fldCharType="begin"/>
      </w:r>
      <w:r>
        <w:rPr>
          <w:rFonts w:hint="eastAsia" w:ascii="黑体" w:hAnsi="黑体" w:eastAsia="黑体" w:cs="黑体"/>
          <w:b w:val="0"/>
          <w:bCs/>
          <w:color w:val="9D0300"/>
          <w:sz w:val="28"/>
          <w:szCs w:val="28"/>
          <w:highlight w:val="none"/>
          <w:lang w:val="en-US" w:eastAsia="zh-CN"/>
        </w:rPr>
        <w:instrText xml:space="preserve"> SEQ 图 \* ARABIC </w:instrText>
      </w:r>
      <w:r>
        <w:rPr>
          <w:rFonts w:hint="eastAsia" w:ascii="黑体" w:hAnsi="黑体" w:eastAsia="黑体" w:cs="黑体"/>
          <w:b w:val="0"/>
          <w:bCs/>
          <w:color w:val="9D0300"/>
          <w:sz w:val="28"/>
          <w:szCs w:val="28"/>
          <w:highlight w:val="none"/>
          <w:lang w:val="en-US" w:eastAsia="zh-CN"/>
        </w:rPr>
        <w:fldChar w:fldCharType="separate"/>
      </w:r>
      <w:r>
        <w:rPr>
          <w:rFonts w:hint="eastAsia" w:ascii="黑体" w:hAnsi="黑体" w:eastAsia="黑体" w:cs="黑体"/>
          <w:b w:val="0"/>
          <w:bCs/>
          <w:color w:val="9D0300"/>
          <w:sz w:val="28"/>
          <w:szCs w:val="28"/>
          <w:highlight w:val="none"/>
          <w:lang w:val="en-US" w:eastAsia="zh-CN"/>
        </w:rPr>
        <w:t>26</w:t>
      </w:r>
      <w:r>
        <w:rPr>
          <w:rFonts w:hint="eastAsia" w:ascii="黑体" w:hAnsi="黑体" w:eastAsia="黑体" w:cs="黑体"/>
          <w:b w:val="0"/>
          <w:bCs/>
          <w:color w:val="9D0300"/>
          <w:sz w:val="28"/>
          <w:szCs w:val="28"/>
          <w:highlight w:val="none"/>
          <w:lang w:val="en-US" w:eastAsia="zh-CN"/>
        </w:rPr>
        <w:fldChar w:fldCharType="end"/>
      </w:r>
      <w:bookmarkStart w:id="100" w:name="_Toc3990"/>
      <w:r>
        <w:rPr>
          <w:rFonts w:hint="eastAsia" w:ascii="黑体" w:hAnsi="黑体" w:eastAsia="黑体" w:cs="黑体"/>
          <w:b w:val="0"/>
          <w:bCs/>
          <w:color w:val="9D0300"/>
          <w:sz w:val="28"/>
          <w:szCs w:val="28"/>
          <w:highlight w:val="none"/>
          <w:lang w:val="en-US" w:eastAsia="zh-CN"/>
        </w:rPr>
        <w:t xml:space="preserve"> 山东省莱阳卫生学校与韩国大邱加图立大学开展交流活动</w:t>
      </w:r>
      <w:bookmarkEnd w:id="100"/>
    </w:p>
    <w:bookmarkEnd w:id="99"/>
    <w:p>
      <w:pPr>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outlineLvl w:val="0"/>
        <w:rPr>
          <w:rFonts w:hint="eastAsia" w:ascii="黑体" w:hAnsi="黑体" w:eastAsia="黑体" w:cs="黑体"/>
          <w:color w:val="A20000"/>
          <w:sz w:val="36"/>
          <w:szCs w:val="36"/>
        </w:rPr>
      </w:pPr>
      <w:bookmarkStart w:id="101" w:name="_Toc5719"/>
      <w:r>
        <w:rPr>
          <w:rFonts w:hint="eastAsia" w:ascii="黑体" w:hAnsi="黑体" w:eastAsia="黑体" w:cs="黑体"/>
          <w:color w:val="A20000"/>
          <w:sz w:val="36"/>
          <w:szCs w:val="36"/>
          <w:lang w:val="en-US" w:eastAsia="zh-CN"/>
        </w:rPr>
        <w:t>5.</w:t>
      </w:r>
      <w:r>
        <w:rPr>
          <w:rFonts w:hint="eastAsia" w:ascii="黑体" w:hAnsi="黑体" w:eastAsia="黑体" w:cs="黑体"/>
          <w:color w:val="A20000"/>
          <w:sz w:val="36"/>
          <w:szCs w:val="36"/>
        </w:rPr>
        <w:t>产教融合</w:t>
      </w:r>
      <w:bookmarkEnd w:id="101"/>
    </w:p>
    <w:p>
      <w:pPr>
        <w:ind w:firstLine="64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山东省莱阳卫生学校</w:t>
      </w:r>
      <w:r>
        <w:rPr>
          <w:rFonts w:hint="eastAsia" w:ascii="仿宋_GB2312" w:hAnsi="仿宋_GB2312" w:eastAsia="仿宋_GB2312" w:cs="仿宋_GB2312"/>
          <w:sz w:val="28"/>
          <w:szCs w:val="28"/>
        </w:rPr>
        <w:t>以教育部现代学徒制试点单位和山东省现代学徒制试点专业项目为依托，以产教融合实训基地学校医院和校企合作实训基地为平台，形成了“医教协同、德技并修、学做一体、多元发展”</w:t>
      </w:r>
      <w:r>
        <w:rPr>
          <w:rFonts w:hint="eastAsia" w:ascii="仿宋_GB2312" w:hAnsi="仿宋_GB2312" w:eastAsia="仿宋_GB2312" w:cs="仿宋_GB2312"/>
          <w:sz w:val="28"/>
          <w:szCs w:val="28"/>
          <w:lang w:val="en-US" w:eastAsia="zh-CN"/>
        </w:rPr>
        <w:t>的</w:t>
      </w:r>
      <w:r>
        <w:rPr>
          <w:rFonts w:hint="eastAsia" w:ascii="仿宋_GB2312" w:hAnsi="仿宋_GB2312" w:eastAsia="仿宋_GB2312" w:cs="仿宋_GB2312"/>
          <w:sz w:val="28"/>
          <w:szCs w:val="28"/>
        </w:rPr>
        <w:t>人才培养模式，形成了“主体聚合、过程耦合、环境契合、资源整合”的医教协同育人机制</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全力促进校企协同育人。</w:t>
      </w:r>
    </w:p>
    <w:p>
      <w:pPr>
        <w:pStyle w:val="3"/>
        <w:keepNext/>
        <w:keepLines/>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cs="黑体"/>
          <w:color w:val="A20000"/>
          <w:sz w:val="30"/>
          <w:szCs w:val="30"/>
          <w:lang w:val="en-US" w:eastAsia="zh-CN"/>
        </w:rPr>
      </w:pPr>
      <w:bookmarkStart w:id="102" w:name="_Toc4382"/>
      <w:r>
        <w:rPr>
          <w:rFonts w:hint="eastAsia" w:ascii="黑体" w:hAnsi="黑体" w:eastAsia="黑体" w:cs="黑体"/>
          <w:color w:val="A20000"/>
          <w:sz w:val="30"/>
          <w:szCs w:val="30"/>
        </w:rPr>
        <w:t>5.1</w:t>
      </w:r>
      <w:r>
        <w:rPr>
          <w:rFonts w:hint="eastAsia" w:cs="黑体"/>
          <w:color w:val="A20000"/>
          <w:sz w:val="30"/>
          <w:szCs w:val="30"/>
          <w:lang w:val="en-US" w:eastAsia="zh-CN"/>
        </w:rPr>
        <w:t>构建医教协同育人机制</w:t>
      </w:r>
      <w:bookmarkEnd w:id="102"/>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黑体" w:hAnsi="黑体" w:eastAsia="黑体" w:cs="黑体"/>
          <w:color w:val="A20000"/>
          <w:sz w:val="30"/>
          <w:szCs w:val="30"/>
          <w:lang w:val="en-US"/>
        </w:rPr>
      </w:pPr>
      <w:r>
        <w:rPr>
          <w:rFonts w:hint="eastAsia" w:ascii="仿宋_GB2312" w:hAnsi="仿宋_GB2312" w:eastAsia="仿宋_GB2312" w:cs="仿宋_GB2312"/>
          <w:sz w:val="28"/>
          <w:szCs w:val="28"/>
          <w:lang w:val="en-US" w:eastAsia="zh-CN"/>
        </w:rPr>
        <w:t>山东省莱阳卫生学校牵头成立院校协作联盟，学校和医院明晰责任，打造实践教学共同体，实现育人主体聚合；“双导师”团队全程分工协作，双轨并行，实现育人过程耦合；在课堂里设病房，在病房里设课堂，实现育人环境契合；推动成立全国护理职教联盟，形成政、校、行、企育人合力，开发、整合资源，为实践教学提供保障，形成了“主体聚合、过程耦合、环境契合、资源整合”的医教协同育人机制。</w:t>
      </w:r>
    </w:p>
    <w:p>
      <w:pPr>
        <w:rPr>
          <w:rFonts w:ascii="宋体" w:hAnsi="宋体" w:eastAsia="宋体" w:cs="Times New Roman"/>
          <w:sz w:val="28"/>
          <w:szCs w:val="28"/>
        </w:rPr>
      </w:pPr>
      <w:r>
        <w:rPr>
          <w:rFonts w:ascii="等线" w:hAnsi="等线" w:eastAsia="等线" w:cs="Times New Roman"/>
          <w:szCs w:val="22"/>
        </w:rPr>
        <w:drawing>
          <wp:inline distT="0" distB="0" distL="0" distR="0">
            <wp:extent cx="5674995" cy="2637155"/>
            <wp:effectExtent l="4445" t="4445" r="16510" b="6350"/>
            <wp:docPr id="1066412146" name="图表 10664121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pPr>
        <w:pStyle w:val="6"/>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ascii="黑体" w:hAnsi="黑体" w:eastAsia="黑体" w:cs="黑体"/>
          <w:color w:val="9D0300"/>
          <w:sz w:val="28"/>
          <w:szCs w:val="28"/>
          <w:lang w:val="en-US" w:eastAsia="zh-CN"/>
        </w:rPr>
      </w:pPr>
      <w:bookmarkStart w:id="103" w:name="_Toc20716"/>
      <w:r>
        <w:rPr>
          <w:rFonts w:hint="eastAsia" w:ascii="黑体" w:hAnsi="黑体" w:eastAsia="黑体" w:cs="黑体"/>
          <w:color w:val="9D0300"/>
          <w:sz w:val="28"/>
          <w:szCs w:val="28"/>
          <w:lang w:val="en-US" w:eastAsia="zh-CN"/>
        </w:rPr>
        <w:t xml:space="preserve">图 </w:t>
      </w:r>
      <w:r>
        <w:rPr>
          <w:rFonts w:hint="eastAsia" w:ascii="黑体" w:hAnsi="黑体" w:eastAsia="黑体" w:cs="黑体"/>
          <w:color w:val="9D0300"/>
          <w:sz w:val="28"/>
          <w:szCs w:val="28"/>
          <w:lang w:val="en-US" w:eastAsia="zh-CN"/>
        </w:rPr>
        <w:fldChar w:fldCharType="begin"/>
      </w:r>
      <w:r>
        <w:rPr>
          <w:rFonts w:hint="eastAsia" w:ascii="黑体" w:hAnsi="黑体" w:eastAsia="黑体" w:cs="黑体"/>
          <w:color w:val="9D0300"/>
          <w:sz w:val="28"/>
          <w:szCs w:val="28"/>
          <w:lang w:val="en-US" w:eastAsia="zh-CN"/>
        </w:rPr>
        <w:instrText xml:space="preserve"> SEQ 图 \* ARABIC </w:instrText>
      </w:r>
      <w:r>
        <w:rPr>
          <w:rFonts w:hint="eastAsia" w:ascii="黑体" w:hAnsi="黑体" w:eastAsia="黑体" w:cs="黑体"/>
          <w:color w:val="9D0300"/>
          <w:sz w:val="28"/>
          <w:szCs w:val="28"/>
          <w:lang w:val="en-US" w:eastAsia="zh-CN"/>
        </w:rPr>
        <w:fldChar w:fldCharType="separate"/>
      </w:r>
      <w:r>
        <w:rPr>
          <w:rFonts w:hint="eastAsia" w:ascii="黑体" w:hAnsi="黑体" w:eastAsia="黑体" w:cs="黑体"/>
          <w:color w:val="9D0300"/>
          <w:sz w:val="28"/>
          <w:szCs w:val="28"/>
          <w:lang w:val="en-US" w:eastAsia="zh-CN"/>
        </w:rPr>
        <w:t>27</w:t>
      </w:r>
      <w:r>
        <w:rPr>
          <w:rFonts w:hint="eastAsia" w:ascii="黑体" w:hAnsi="黑体" w:eastAsia="黑体" w:cs="黑体"/>
          <w:color w:val="9D0300"/>
          <w:sz w:val="28"/>
          <w:szCs w:val="28"/>
          <w:lang w:val="en-US" w:eastAsia="zh-CN"/>
        </w:rPr>
        <w:fldChar w:fldCharType="end"/>
      </w:r>
      <w:bookmarkStart w:id="104" w:name="_Toc30923"/>
      <w:r>
        <w:rPr>
          <w:rFonts w:hint="eastAsia" w:ascii="黑体" w:hAnsi="黑体" w:eastAsia="黑体" w:cs="黑体"/>
          <w:color w:val="9D0300"/>
          <w:sz w:val="28"/>
          <w:szCs w:val="28"/>
          <w:lang w:val="en-US" w:eastAsia="zh-CN"/>
        </w:rPr>
        <w:t xml:space="preserve"> 校外实习基地分布情况</w:t>
      </w:r>
      <w:bookmarkEnd w:id="104"/>
    </w:p>
    <w:p>
      <w:pPr>
        <w:rPr>
          <w:rFonts w:hint="eastAsia"/>
          <w:lang w:val="en-US" w:eastAsia="zh-CN"/>
        </w:rPr>
      </w:pPr>
    </w:p>
    <w:p>
      <w:pPr>
        <w:rPr>
          <w:rFonts w:hint="eastAsia"/>
          <w:lang w:val="en-US" w:eastAsia="zh-CN"/>
        </w:rPr>
      </w:pPr>
    </w:p>
    <w:bookmarkEnd w:id="103"/>
    <w:p>
      <w:pPr>
        <w:pStyle w:val="6"/>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eastAsia"/>
          <w:sz w:val="28"/>
          <w:szCs w:val="28"/>
          <w:lang w:val="en-US" w:eastAsia="zh-CN"/>
        </w:rPr>
      </w:pPr>
      <w:bookmarkStart w:id="105" w:name="_Toc11599"/>
      <w:r>
        <w:rPr>
          <w:rFonts w:hint="eastAsia" w:ascii="黑体" w:hAnsi="黑体" w:eastAsia="黑体" w:cs="黑体"/>
          <w:color w:val="9D0300"/>
          <w:sz w:val="28"/>
          <w:szCs w:val="28"/>
          <w:highlight w:val="none"/>
          <w:lang w:val="en-US" w:eastAsia="zh-CN"/>
        </w:rPr>
        <w:drawing>
          <wp:anchor distT="0" distB="0" distL="114300" distR="114300" simplePos="0" relativeHeight="251661312" behindDoc="0" locked="0" layoutInCell="1" allowOverlap="1">
            <wp:simplePos x="0" y="0"/>
            <wp:positionH relativeFrom="column">
              <wp:posOffset>24130</wp:posOffset>
            </wp:positionH>
            <wp:positionV relativeFrom="paragraph">
              <wp:posOffset>97155</wp:posOffset>
            </wp:positionV>
            <wp:extent cx="5579745" cy="3133725"/>
            <wp:effectExtent l="0" t="0" r="1905" b="9525"/>
            <wp:wrapSquare wrapText="bothSides"/>
            <wp:docPr id="31" name="图片 31" descr="莱阳卫校组织口腔修复工艺专业学生赴企业实地观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莱阳卫校组织口腔修复工艺专业学生赴企业实地观摩"/>
                    <pic:cNvPicPr>
                      <a:picLocks noChangeAspect="1"/>
                    </pic:cNvPicPr>
                  </pic:nvPicPr>
                  <pic:blipFill>
                    <a:blip r:embed="rId36"/>
                    <a:stretch>
                      <a:fillRect/>
                    </a:stretch>
                  </pic:blipFill>
                  <pic:spPr>
                    <a:xfrm>
                      <a:off x="0" y="0"/>
                      <a:ext cx="5579745" cy="3133725"/>
                    </a:xfrm>
                    <a:prstGeom prst="rect">
                      <a:avLst/>
                    </a:prstGeom>
                  </pic:spPr>
                </pic:pic>
              </a:graphicData>
            </a:graphic>
          </wp:anchor>
        </w:drawing>
      </w:r>
      <w:r>
        <w:rPr>
          <w:rFonts w:hint="eastAsia" w:ascii="黑体" w:hAnsi="黑体" w:eastAsia="黑体" w:cs="黑体"/>
          <w:color w:val="9D0300"/>
          <w:sz w:val="28"/>
          <w:szCs w:val="28"/>
          <w:highlight w:val="none"/>
          <w:lang w:val="en-US" w:eastAsia="zh-CN"/>
        </w:rPr>
        <w:t xml:space="preserve">图 </w:t>
      </w:r>
      <w:r>
        <w:rPr>
          <w:rFonts w:hint="eastAsia" w:ascii="黑体" w:hAnsi="黑体" w:eastAsia="黑体" w:cs="黑体"/>
          <w:color w:val="9D0300"/>
          <w:sz w:val="28"/>
          <w:szCs w:val="28"/>
          <w:highlight w:val="none"/>
          <w:lang w:val="en-US" w:eastAsia="zh-CN"/>
        </w:rPr>
        <w:fldChar w:fldCharType="begin"/>
      </w:r>
      <w:r>
        <w:rPr>
          <w:rFonts w:hint="eastAsia" w:ascii="黑体" w:hAnsi="黑体" w:eastAsia="黑体" w:cs="黑体"/>
          <w:color w:val="9D0300"/>
          <w:sz w:val="28"/>
          <w:szCs w:val="28"/>
          <w:highlight w:val="none"/>
          <w:lang w:val="en-US" w:eastAsia="zh-CN"/>
        </w:rPr>
        <w:instrText xml:space="preserve"> SEQ 图 \* ARABIC </w:instrText>
      </w:r>
      <w:r>
        <w:rPr>
          <w:rFonts w:hint="eastAsia" w:ascii="黑体" w:hAnsi="黑体" w:eastAsia="黑体" w:cs="黑体"/>
          <w:color w:val="9D0300"/>
          <w:sz w:val="28"/>
          <w:szCs w:val="28"/>
          <w:highlight w:val="none"/>
          <w:lang w:val="en-US" w:eastAsia="zh-CN"/>
        </w:rPr>
        <w:fldChar w:fldCharType="separate"/>
      </w:r>
      <w:r>
        <w:rPr>
          <w:rFonts w:hint="eastAsia" w:ascii="黑体" w:hAnsi="黑体" w:eastAsia="黑体" w:cs="黑体"/>
          <w:color w:val="9D0300"/>
          <w:sz w:val="28"/>
          <w:szCs w:val="28"/>
          <w:highlight w:val="none"/>
          <w:lang w:val="en-US" w:eastAsia="zh-CN"/>
        </w:rPr>
        <w:t>28</w:t>
      </w:r>
      <w:r>
        <w:rPr>
          <w:rFonts w:hint="eastAsia" w:ascii="黑体" w:hAnsi="黑体" w:eastAsia="黑体" w:cs="黑体"/>
          <w:color w:val="9D0300"/>
          <w:sz w:val="28"/>
          <w:szCs w:val="28"/>
          <w:highlight w:val="none"/>
          <w:lang w:val="en-US" w:eastAsia="zh-CN"/>
        </w:rPr>
        <w:fldChar w:fldCharType="end"/>
      </w:r>
      <w:bookmarkStart w:id="106" w:name="_Toc20192"/>
      <w:r>
        <w:rPr>
          <w:rFonts w:hint="eastAsia" w:ascii="黑体" w:hAnsi="黑体" w:eastAsia="黑体" w:cs="黑体"/>
          <w:color w:val="9D0300"/>
          <w:sz w:val="28"/>
          <w:szCs w:val="28"/>
          <w:highlight w:val="none"/>
          <w:lang w:val="en-US" w:eastAsia="zh-CN"/>
        </w:rPr>
        <w:t xml:space="preserve"> 合作企业师傅为学校口腔修复工艺专业学徒示教</w:t>
      </w:r>
      <w:bookmarkEnd w:id="106"/>
    </w:p>
    <w:bookmarkEnd w:id="105"/>
    <w:p>
      <w:pPr>
        <w:pStyle w:val="3"/>
        <w:keepNext/>
        <w:keepLines/>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color w:val="A20000"/>
          <w:sz w:val="30"/>
          <w:szCs w:val="30"/>
          <w:lang w:val="en-US" w:eastAsia="zh-CN"/>
        </w:rPr>
      </w:pPr>
      <w:bookmarkStart w:id="107" w:name="_Toc5018"/>
      <w:r>
        <w:rPr>
          <w:rFonts w:hint="eastAsia" w:ascii="黑体" w:hAnsi="黑体" w:eastAsia="黑体" w:cs="黑体"/>
          <w:color w:val="A20000"/>
          <w:sz w:val="30"/>
          <w:szCs w:val="30"/>
        </w:rPr>
        <w:t>5.2</w:t>
      </w:r>
      <w:r>
        <w:rPr>
          <w:rFonts w:hint="eastAsia" w:cs="黑体"/>
          <w:color w:val="A20000"/>
          <w:sz w:val="30"/>
          <w:szCs w:val="30"/>
          <w:lang w:val="en-US" w:eastAsia="zh-CN"/>
        </w:rPr>
        <w:t>联盟</w:t>
      </w:r>
      <w:r>
        <w:rPr>
          <w:rFonts w:hint="eastAsia" w:ascii="黑体" w:hAnsi="黑体" w:eastAsia="黑体" w:cs="黑体"/>
          <w:color w:val="A20000"/>
          <w:sz w:val="30"/>
          <w:szCs w:val="30"/>
          <w:lang w:val="en-US" w:eastAsia="zh-CN"/>
        </w:rPr>
        <w:t>集团推动校企深度融合</w:t>
      </w:r>
      <w:bookmarkEnd w:id="107"/>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山东省莱阳卫生学校</w:t>
      </w:r>
      <w:r>
        <w:rPr>
          <w:rFonts w:hint="eastAsia" w:ascii="仿宋_GB2312" w:hAnsi="仿宋_GB2312" w:eastAsia="仿宋_GB2312" w:cs="仿宋_GB2312"/>
          <w:sz w:val="28"/>
          <w:szCs w:val="28"/>
        </w:rPr>
        <w:t>参与了全国医养结合行业产教融合共同体、山东省口腔健康产教融合共同体、烟台市康养服务产教融合共同体、烟台市学前教育与托育服务产教融合共同体以及山东省卫生职业教育集团、青岛卫生职业教育集团山东省医养健康产业协会医养健康产教融合联盟、山东卫生职教集团和山东省卫生健康职业教育教学指导委员会等产教融合平台，形成了以专业群为依托，以集团联盟为平台，政、校、企、行、研协同推进的专业建设新模式。以教育部现代学徒制试点单位为依托，学校与青岛华新华义齿技术有限公司、潍坊嘉得隆义齿有限公司、烟台顺圣医疗科技有限公司、山东立健药店连锁有限公司、青岛同方药业连锁有限公司等企业签订共同育人协议，开展基于现代学徒制的校企双元育人，促进医养健康产业人才培养供给侧和需求侧结构要素全方位融合，畅通发展通道。</w:t>
      </w:r>
    </w:p>
    <w:p>
      <w:pPr>
        <w:pStyle w:val="3"/>
        <w:keepNext/>
        <w:keepLines/>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default" w:ascii="黑体" w:hAnsi="黑体" w:eastAsia="黑体" w:cs="黑体"/>
          <w:color w:val="A20000"/>
          <w:sz w:val="30"/>
          <w:szCs w:val="30"/>
          <w:lang w:val="en-US" w:eastAsia="zh-CN"/>
        </w:rPr>
      </w:pPr>
      <w:bookmarkStart w:id="108" w:name="_Toc19617"/>
      <w:r>
        <w:rPr>
          <w:rFonts w:hint="eastAsia" w:ascii="黑体" w:hAnsi="黑体" w:eastAsia="黑体" w:cs="黑体"/>
          <w:color w:val="A20000"/>
          <w:sz w:val="30"/>
          <w:szCs w:val="30"/>
        </w:rPr>
        <w:t>5.3</w:t>
      </w:r>
      <w:r>
        <w:rPr>
          <w:rFonts w:hint="eastAsia" w:cs="黑体"/>
          <w:color w:val="A20000"/>
          <w:sz w:val="30"/>
          <w:szCs w:val="30"/>
          <w:lang w:val="en-US" w:eastAsia="zh-CN"/>
        </w:rPr>
        <w:t>校企合作共育专业人才</w:t>
      </w:r>
      <w:bookmarkEnd w:id="108"/>
    </w:p>
    <w:p>
      <w:pPr>
        <w:ind w:firstLine="64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山东省莱阳卫生学校</w:t>
      </w:r>
      <w:r>
        <w:rPr>
          <w:rFonts w:hint="eastAsia" w:ascii="仿宋_GB2312" w:hAnsi="仿宋_GB2312" w:eastAsia="仿宋_GB2312" w:cs="仿宋_GB2312"/>
          <w:sz w:val="28"/>
          <w:szCs w:val="28"/>
        </w:rPr>
        <w:t>构建了人才培养、社会服务、顶岗实习、学生就业等多功能开放平台，与烟台毓璜顶医院、烟台山医院、滨州医学院烟台附属医院等53个实训基地建立了深度融合的长效合作机制</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满足了合作行业企业对人力资源的需求，实现学校、学生、企业三赢。学校以教育部现代学徒制试点项目为契机，探索现代学徒制人才培养模式，形成了基于现代学徒制的“医教协同、德技并修、学做一体、多元发展”人才培养模式。校企双方制定了现代学徒制人才培养方案2项，引进了优秀的企业文化，改善了实验实训条件，形成了现代学徒制制度、标准37项，典型案例3个，校企合作开发教材5本，校企合作开发课程5门，培养学徒813人。</w:t>
      </w:r>
    </w:p>
    <w:p>
      <w:pPr>
        <w:keepNext w:val="0"/>
        <w:keepLines w:val="0"/>
        <w:pageBreakBefore w:val="0"/>
        <w:widowControl w:val="0"/>
        <w:kinsoku/>
        <w:wordWrap/>
        <w:overflowPunct/>
        <w:topLinePunct w:val="0"/>
        <w:autoSpaceDE/>
        <w:autoSpaceDN/>
        <w:bidi w:val="0"/>
        <w:adjustRightInd/>
        <w:snapToGrid/>
        <w:textAlignment w:val="auto"/>
        <w:outlineLvl w:val="9"/>
        <w:rPr>
          <w:rFonts w:hint="eastAsia" w:ascii="华文新魏" w:hAnsi="华文新魏" w:eastAsia="华文新魏" w:cs="华文新魏"/>
          <w:b/>
          <w:bCs/>
          <w:color w:val="A20000"/>
          <w:sz w:val="32"/>
          <w:szCs w:val="32"/>
          <w:highlight w:val="none"/>
        </w:rPr>
      </w:pPr>
      <w:r>
        <w:rPr>
          <w:rFonts w:hint="eastAsia" w:ascii="华文新魏" w:hAnsi="华文新魏" w:eastAsia="华文新魏" w:cs="华文新魏"/>
          <w:b/>
          <w:bCs/>
          <w:color w:val="A20000"/>
          <w:sz w:val="32"/>
          <w:szCs w:val="32"/>
          <w:highlight w:val="none"/>
        </w:rPr>
        <w:t xml:space="preserve">案例 </w:t>
      </w:r>
      <w:r>
        <w:rPr>
          <w:rFonts w:hint="eastAsia" w:ascii="华文新魏" w:hAnsi="华文新魏" w:eastAsia="华文新魏" w:cs="华文新魏"/>
          <w:b/>
          <w:bCs/>
          <w:color w:val="A20000"/>
          <w:sz w:val="32"/>
          <w:szCs w:val="32"/>
          <w:highlight w:val="none"/>
        </w:rPr>
        <w:fldChar w:fldCharType="begin"/>
      </w:r>
      <w:r>
        <w:rPr>
          <w:rFonts w:hint="eastAsia" w:ascii="华文新魏" w:hAnsi="华文新魏" w:eastAsia="华文新魏" w:cs="华文新魏"/>
          <w:b/>
          <w:bCs/>
          <w:color w:val="A20000"/>
          <w:sz w:val="32"/>
          <w:szCs w:val="32"/>
          <w:highlight w:val="none"/>
        </w:rPr>
        <w:instrText xml:space="preserve"> SEQ 案例 \* ARABIC </w:instrText>
      </w:r>
      <w:r>
        <w:rPr>
          <w:rFonts w:hint="eastAsia" w:ascii="华文新魏" w:hAnsi="华文新魏" w:eastAsia="华文新魏" w:cs="华文新魏"/>
          <w:b/>
          <w:bCs/>
          <w:color w:val="A20000"/>
          <w:sz w:val="32"/>
          <w:szCs w:val="32"/>
          <w:highlight w:val="none"/>
        </w:rPr>
        <w:fldChar w:fldCharType="separate"/>
      </w:r>
      <w:r>
        <w:rPr>
          <w:rFonts w:hint="eastAsia" w:ascii="华文新魏" w:hAnsi="华文新魏" w:eastAsia="华文新魏" w:cs="华文新魏"/>
          <w:b/>
          <w:bCs/>
          <w:color w:val="A20000"/>
          <w:sz w:val="32"/>
          <w:szCs w:val="32"/>
          <w:highlight w:val="none"/>
        </w:rPr>
        <w:t>19</w:t>
      </w:r>
      <w:r>
        <w:rPr>
          <w:rFonts w:hint="eastAsia" w:ascii="华文新魏" w:hAnsi="华文新魏" w:eastAsia="华文新魏" w:cs="华文新魏"/>
          <w:b/>
          <w:bCs/>
          <w:color w:val="A20000"/>
          <w:sz w:val="32"/>
          <w:szCs w:val="32"/>
          <w:highlight w:val="none"/>
        </w:rPr>
        <w:fldChar w:fldCharType="end"/>
      </w:r>
      <w:bookmarkStart w:id="109" w:name="_Toc13856"/>
      <w:r>
        <w:rPr>
          <w:rFonts w:hint="eastAsia" w:ascii="华文新魏" w:hAnsi="华文新魏" w:eastAsia="华文新魏" w:cs="华文新魏"/>
          <w:b/>
          <w:bCs/>
          <w:color w:val="A20000"/>
          <w:sz w:val="32"/>
          <w:szCs w:val="32"/>
          <w:highlight w:val="none"/>
        </w:rPr>
        <w:t>：校企协同育人，岗课赛证融通培养</w:t>
      </w:r>
      <w:bookmarkEnd w:id="109"/>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rPr>
      </w:pPr>
      <w:r>
        <w:rPr>
          <w:rFonts w:hint="eastAsia" w:ascii="楷体" w:hAnsi="楷体" w:eastAsia="楷体" w:cs="楷体"/>
          <w:sz w:val="28"/>
          <w:szCs w:val="28"/>
        </w:rPr>
        <w:t>山东省莱阳卫生学校依托教育部1+X证书制度试点，积极开展探索实践，深化校企协同育人，实施服务区域发展，服务学生成才，服务企业需求的“三服务”证书培训模式，培养社会需要的多元化人才。2023年度</w:t>
      </w:r>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学校</w:t>
      </w:r>
      <w:r>
        <w:rPr>
          <w:rFonts w:hint="eastAsia" w:ascii="楷体" w:hAnsi="楷体" w:eastAsia="楷体" w:cs="楷体"/>
          <w:sz w:val="28"/>
          <w:szCs w:val="28"/>
        </w:rPr>
        <w:t>全面落实学历教育与职业培训并举并重的法定职责</w:t>
      </w:r>
      <w:r>
        <w:rPr>
          <w:rFonts w:hint="eastAsia" w:ascii="楷体" w:hAnsi="楷体" w:eastAsia="楷体" w:cs="楷体"/>
          <w:sz w:val="28"/>
          <w:szCs w:val="28"/>
          <w:lang w:eastAsia="zh-CN"/>
        </w:rPr>
        <w:t>，</w:t>
      </w:r>
      <w:r>
        <w:rPr>
          <w:rFonts w:hint="eastAsia" w:ascii="楷体" w:hAnsi="楷体" w:eastAsia="楷体" w:cs="楷体"/>
          <w:sz w:val="28"/>
          <w:szCs w:val="28"/>
        </w:rPr>
        <w:t>开展6个证书试点，覆盖三二连读、普通中专、职教高考所有专业班级</w:t>
      </w:r>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其中</w:t>
      </w:r>
      <w:r>
        <w:rPr>
          <w:rFonts w:hint="eastAsia" w:ascii="楷体" w:hAnsi="楷体" w:eastAsia="楷体" w:cs="楷体"/>
          <w:sz w:val="28"/>
          <w:szCs w:val="28"/>
        </w:rPr>
        <w:t>老年照护、母婴护理、家庭保健按摩、失智老年人照护4项职业技能等级证书紧密对接地方紧缺职业（工种），持续为社会培养行业紧缺人才，为烟台市 “一老一小” 整体解决方案提供有力人才支撑</w:t>
      </w:r>
      <w:r>
        <w:rPr>
          <w:rFonts w:hint="eastAsia" w:ascii="楷体" w:hAnsi="楷体" w:eastAsia="楷体" w:cs="楷体"/>
          <w:sz w:val="28"/>
          <w:szCs w:val="28"/>
          <w:lang w:eastAsia="zh-CN"/>
        </w:rPr>
        <w:t>；</w:t>
      </w:r>
      <w:r>
        <w:rPr>
          <w:rFonts w:hint="eastAsia" w:ascii="楷体" w:hAnsi="楷体" w:eastAsia="楷体" w:cs="楷体"/>
          <w:sz w:val="28"/>
          <w:szCs w:val="28"/>
        </w:rPr>
        <w:t>职业生涯规划、WPS办公应用2项证书将职业能力基础培训前置到专业教育教学中，夯实学生终身学习、自主学习、职业素养和可持续发展的职业基础。2023年学校荣获失智老年人照护证书“优秀院校”、“示范院校”荣誉，老年照护、母婴护理、家庭保健按摩“优秀试点院校”荣誉。</w:t>
      </w:r>
    </w:p>
    <w:p>
      <w:pPr>
        <w:pStyle w:val="3"/>
        <w:keepNext/>
        <w:keepLines/>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color w:val="A20000"/>
          <w:sz w:val="30"/>
          <w:szCs w:val="30"/>
          <w:lang w:val="en-US" w:eastAsia="zh-CN"/>
        </w:rPr>
      </w:pPr>
      <w:bookmarkStart w:id="110" w:name="_Toc21832"/>
      <w:r>
        <w:rPr>
          <w:rFonts w:hint="eastAsia" w:ascii="黑体" w:hAnsi="黑体" w:eastAsia="黑体" w:cs="黑体"/>
          <w:color w:val="A20000"/>
          <w:sz w:val="30"/>
          <w:szCs w:val="30"/>
        </w:rPr>
        <w:t>5.4</w:t>
      </w:r>
      <w:r>
        <w:rPr>
          <w:rFonts w:hint="eastAsia" w:cs="黑体"/>
          <w:color w:val="A20000"/>
          <w:sz w:val="30"/>
          <w:szCs w:val="30"/>
          <w:lang w:val="en-US" w:eastAsia="zh-CN"/>
        </w:rPr>
        <w:t>打造学校</w:t>
      </w:r>
      <w:r>
        <w:rPr>
          <w:rFonts w:hint="eastAsia" w:ascii="黑体" w:hAnsi="黑体" w:eastAsia="黑体" w:cs="黑体"/>
          <w:color w:val="A20000"/>
          <w:sz w:val="30"/>
          <w:szCs w:val="30"/>
          <w:lang w:val="en-US" w:eastAsia="zh-CN"/>
        </w:rPr>
        <w:t>医院</w:t>
      </w:r>
      <w:r>
        <w:rPr>
          <w:rFonts w:hint="eastAsia" w:cs="黑体"/>
          <w:color w:val="A20000"/>
          <w:sz w:val="30"/>
          <w:szCs w:val="30"/>
          <w:lang w:val="en-US" w:eastAsia="zh-CN"/>
        </w:rPr>
        <w:t>产教融合</w:t>
      </w:r>
      <w:r>
        <w:rPr>
          <w:rFonts w:hint="eastAsia" w:ascii="黑体" w:hAnsi="黑体" w:eastAsia="黑体" w:cs="黑体"/>
          <w:color w:val="A20000"/>
          <w:sz w:val="30"/>
          <w:szCs w:val="30"/>
          <w:lang w:val="en-US" w:eastAsia="zh-CN"/>
        </w:rPr>
        <w:t>中心</w:t>
      </w:r>
      <w:bookmarkEnd w:id="110"/>
    </w:p>
    <w:p>
      <w:pPr>
        <w:ind w:firstLine="64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山东省莱阳卫生学校</w:t>
      </w:r>
      <w:r>
        <w:rPr>
          <w:rFonts w:hint="eastAsia" w:ascii="仿宋_GB2312" w:hAnsi="仿宋_GB2312" w:eastAsia="仿宋_GB2312" w:cs="仿宋_GB2312"/>
          <w:sz w:val="28"/>
          <w:szCs w:val="28"/>
        </w:rPr>
        <w:t>和</w:t>
      </w:r>
      <w:r>
        <w:rPr>
          <w:rFonts w:hint="eastAsia" w:ascii="仿宋_GB2312" w:hAnsi="仿宋_GB2312" w:eastAsia="仿宋_GB2312" w:cs="仿宋_GB2312"/>
          <w:sz w:val="28"/>
          <w:szCs w:val="28"/>
          <w:lang w:val="en-US" w:eastAsia="zh-CN"/>
        </w:rPr>
        <w:t>附属</w:t>
      </w:r>
      <w:r>
        <w:rPr>
          <w:rFonts w:hint="eastAsia" w:ascii="仿宋_GB2312" w:hAnsi="仿宋_GB2312" w:eastAsia="仿宋_GB2312" w:cs="仿宋_GB2312"/>
          <w:sz w:val="28"/>
          <w:szCs w:val="28"/>
        </w:rPr>
        <w:t>医院优势互补、资源共享，在谋求自身发展的同时，切实提高育人的针对性和实效性，提升技术型人才的培养质量。学校医院占地面积6300平方米，开放床位90张，职工100余人，其中副高职称30人，硕士研究生16人，专业技术人员80余人。投资1200余万元建有标准万级和十万级净化手术室，拥有美国GE螺旋CT、进口血球分析仪、飞利浦全数字化彩色多普勒等设备，形成了集教学、科研、实习实训为一体的综合实践中心。医院相关专业科室即是学校专业教研室，大夫护士即是学校教师，学校学科专业与医院科室形成有效契合，充分发挥医院科室的优势，最大程度保证了学校培养人才的理念上的一致性。实现不出校门，专业教师即可到医院实践，学生即可到医院见习。</w:t>
      </w:r>
    </w:p>
    <w:p>
      <w:pPr>
        <w:keepNext w:val="0"/>
        <w:keepLines w:val="0"/>
        <w:pageBreakBefore w:val="0"/>
        <w:widowControl w:val="0"/>
        <w:numPr>
          <w:ilvl w:val="0"/>
          <w:numId w:val="3"/>
        </w:numPr>
        <w:kinsoku/>
        <w:wordWrap/>
        <w:overflowPunct/>
        <w:topLinePunct w:val="0"/>
        <w:autoSpaceDE/>
        <w:autoSpaceDN/>
        <w:bidi w:val="0"/>
        <w:adjustRightInd/>
        <w:snapToGrid/>
        <w:spacing w:before="157" w:beforeLines="50" w:after="157" w:afterLines="50"/>
        <w:textAlignment w:val="auto"/>
        <w:outlineLvl w:val="0"/>
        <w:rPr>
          <w:rFonts w:hint="eastAsia" w:ascii="黑体" w:hAnsi="黑体" w:eastAsia="黑体" w:cs="黑体"/>
          <w:color w:val="A20000"/>
          <w:sz w:val="36"/>
          <w:szCs w:val="36"/>
        </w:rPr>
      </w:pPr>
      <w:bookmarkStart w:id="111" w:name="_Toc141"/>
      <w:r>
        <w:rPr>
          <w:rFonts w:hint="eastAsia" w:ascii="黑体" w:hAnsi="黑体" w:eastAsia="黑体" w:cs="黑体"/>
          <w:color w:val="A20000"/>
          <w:sz w:val="36"/>
          <w:szCs w:val="36"/>
        </w:rPr>
        <w:t>发展保障</w:t>
      </w:r>
      <w:bookmarkEnd w:id="111"/>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560" w:lineRule="exact"/>
        <w:ind w:firstLine="560" w:firstLineChars="200"/>
        <w:textAlignment w:val="auto"/>
        <w:outlineLvl w:val="9"/>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山东省莱阳卫生学校积极落实习近平总书记关于职业教育的论述和国家、省市级有关职业教育政策，发挥党建统领作用，推进党建与业务深度融合，为学校提供有力的政治和组织保障。抓好学校关键办学项目和办学能力，为学校提供有力的政策保障。构建学校制度和质量文化保障体系，为学校提供强有力的制度保障。</w:t>
      </w:r>
    </w:p>
    <w:p>
      <w:pPr>
        <w:pStyle w:val="3"/>
        <w:keepNext/>
        <w:keepLines/>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color w:val="A20000"/>
          <w:sz w:val="30"/>
          <w:szCs w:val="30"/>
        </w:rPr>
      </w:pPr>
      <w:bookmarkStart w:id="112" w:name="_Toc19909"/>
      <w:r>
        <w:rPr>
          <w:rFonts w:hint="eastAsia" w:ascii="黑体" w:hAnsi="黑体" w:eastAsia="黑体" w:cs="黑体"/>
          <w:color w:val="A20000"/>
          <w:sz w:val="30"/>
          <w:szCs w:val="30"/>
          <w:lang w:val="en-US" w:eastAsia="zh-CN"/>
        </w:rPr>
        <w:t>6</w:t>
      </w:r>
      <w:r>
        <w:rPr>
          <w:rFonts w:hint="eastAsia" w:ascii="黑体" w:hAnsi="黑体" w:eastAsia="黑体" w:cs="黑体"/>
          <w:color w:val="A20000"/>
          <w:sz w:val="30"/>
          <w:szCs w:val="30"/>
        </w:rPr>
        <w:t>.1党建引领</w:t>
      </w:r>
      <w:bookmarkEnd w:id="112"/>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b/>
          <w:bCs/>
          <w:color w:val="A20000"/>
          <w:sz w:val="28"/>
          <w:szCs w:val="28"/>
          <w:lang w:val="en-US" w:eastAsia="zh-CN"/>
        </w:rPr>
        <w:t>切实加强党对学校的全面领导。</w:t>
      </w:r>
      <w:r>
        <w:rPr>
          <w:rFonts w:hint="eastAsia" w:ascii="仿宋_GB2312" w:hAnsi="仿宋_GB2312" w:eastAsia="仿宋_GB2312" w:cs="仿宋_GB2312"/>
          <w:sz w:val="28"/>
          <w:szCs w:val="28"/>
        </w:rPr>
        <w:t>贯彻落实党的教育方针，坚持社会主义办学方向，把从严治党责任落实到教书育人全过程。严格落实“三重一大”制度、党委会决策议事规则，强化决策执行，全年累计召开党委会30余次，研究议题150余项；严格落实党内组织生活制度，严肃党内政治生活，开好党委班子民主生活会，召开专题会议部署全面从严治党工作，落实党委及班子成员全面从严治党责任；落实“第一议题”制度，抓实党委中心组理论学习，充分用好“学习强国“平台，切实加强思想理论武装，强化意识形态工作责任，开展风险隐患排查，加强意识形态阵地建设和重点人员管控，把牢意识形态主动权。</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b/>
          <w:bCs/>
          <w:color w:val="A20000"/>
          <w:sz w:val="28"/>
          <w:szCs w:val="28"/>
          <w:lang w:val="en-US" w:eastAsia="zh-CN"/>
        </w:rPr>
        <w:t>加强基层党组织规范化建设。</w:t>
      </w:r>
      <w:r>
        <w:rPr>
          <w:rFonts w:hint="eastAsia" w:ascii="仿宋_GB2312" w:hAnsi="仿宋_GB2312" w:eastAsia="仿宋_GB2312" w:cs="仿宋_GB2312"/>
          <w:sz w:val="28"/>
          <w:szCs w:val="28"/>
        </w:rPr>
        <w:t>严格落实“三会一课”、主题党日等组织生活制度，开展庆“七一”主题系列活动，赴红色教育基地开展党性教育，定期开展警示教育，定期召开组织生活会和民主评议党员，切实加强党员教育管理；对接属地社区积极开展“双报到双服务”活动；严格组织发展程序，完善并落实 “党员-骨干教师双培养”制度机制，加强党员教师思想政治素质提升和师德师风涵养，为学校改革发展提供坚强组织保证</w:t>
      </w:r>
      <w:r>
        <w:rPr>
          <w:rFonts w:hint="eastAsia" w:ascii="仿宋_GB2312" w:hAnsi="仿宋_GB2312" w:eastAsia="仿宋_GB2312" w:cs="仿宋_GB2312"/>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color w:val="A20000"/>
          <w:sz w:val="28"/>
          <w:szCs w:val="28"/>
          <w:lang w:val="en-US" w:eastAsia="zh-CN"/>
        </w:rPr>
        <w:t>深入推进党建与业务融合。</w:t>
      </w:r>
      <w:r>
        <w:rPr>
          <w:rFonts w:hint="eastAsia" w:ascii="仿宋_GB2312" w:hAnsi="仿宋_GB2312" w:eastAsia="仿宋_GB2312" w:cs="仿宋_GB2312"/>
          <w:sz w:val="28"/>
          <w:szCs w:val="28"/>
        </w:rPr>
        <w:t>以样板党支部打造为引领，以党员名医、名护士工作室建设为依托利用医疗、护理资源开展社会志愿服务以党建带团建、党建带群建为路径，有效发挥党组织的战斗堡垒和党员先锋模范作用，带动学校共青团、学生会、工会开展丰富的社团、文体等活动，努力打造支部特色党建工作品牌。统筹抓好各项重点措施落实。学校继续保持省文明校园、烟台市学习强国平台先进学习组织，获批市直卫健系统党员名医工作室1个，莱阳市样板党支部2个，获评“烟台卫健这十年”优秀主题党课三等奖、优秀奖各1项。</w:t>
      </w:r>
    </w:p>
    <w:p>
      <w:pPr>
        <w:rPr>
          <w:rFonts w:hint="eastAsia" w:ascii="仿宋_GB2312" w:hAnsi="仿宋_GB2312" w:eastAsia="仿宋_GB2312" w:cs="仿宋_GB2312"/>
          <w:sz w:val="28"/>
          <w:szCs w:val="28"/>
        </w:rPr>
      </w:pPr>
      <w:r>
        <w:rPr>
          <w:rFonts w:ascii="宋体" w:hAnsi="宋体" w:eastAsia="宋体" w:cs="宋体"/>
          <w:sz w:val="28"/>
          <w:szCs w:val="28"/>
        </w:rPr>
        <w:drawing>
          <wp:inline distT="0" distB="0" distL="0" distR="0">
            <wp:extent cx="5579745" cy="3207385"/>
            <wp:effectExtent l="0" t="0" r="1905" b="1206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37">
                      <a:extLst>
                        <a:ext uri="{28A0092B-C50C-407E-A947-70E740481C1C}">
                          <a14:useLocalDpi xmlns:a14="http://schemas.microsoft.com/office/drawing/2010/main" val="0"/>
                        </a:ext>
                      </a:extLst>
                    </a:blip>
                    <a:srcRect l="12801"/>
                    <a:stretch>
                      <a:fillRect/>
                    </a:stretch>
                  </pic:blipFill>
                  <pic:spPr>
                    <a:xfrm>
                      <a:off x="0" y="0"/>
                      <a:ext cx="5579745" cy="3207385"/>
                    </a:xfrm>
                    <a:prstGeom prst="rect">
                      <a:avLst/>
                    </a:prstGeom>
                    <a:noFill/>
                    <a:ln>
                      <a:noFill/>
                    </a:ln>
                  </pic:spPr>
                </pic:pic>
              </a:graphicData>
            </a:graphic>
          </wp:inline>
        </w:drawing>
      </w:r>
    </w:p>
    <w:p>
      <w:pPr>
        <w:pStyle w:val="6"/>
        <w:jc w:val="center"/>
        <w:rPr>
          <w:rFonts w:ascii="宋体" w:hAnsi="宋体" w:eastAsia="宋体" w:cs="宋体"/>
          <w:b w:val="0"/>
          <w:bCs/>
          <w:sz w:val="28"/>
          <w:szCs w:val="28"/>
        </w:rPr>
      </w:pPr>
      <w:r>
        <w:rPr>
          <w:rFonts w:hint="eastAsia" w:ascii="黑体" w:hAnsi="黑体" w:eastAsia="黑体" w:cs="黑体"/>
          <w:b w:val="0"/>
          <w:bCs/>
          <w:color w:val="9D0300"/>
          <w:kern w:val="2"/>
          <w:sz w:val="28"/>
          <w:szCs w:val="28"/>
          <w:lang w:val="en-US" w:eastAsia="zh-CN" w:bidi="ar-SA"/>
        </w:rPr>
        <w:t xml:space="preserve">图 </w:t>
      </w:r>
      <w:r>
        <w:rPr>
          <w:rFonts w:hint="eastAsia" w:ascii="黑体" w:hAnsi="黑体" w:eastAsia="黑体" w:cs="黑体"/>
          <w:b w:val="0"/>
          <w:bCs/>
          <w:color w:val="9D0300"/>
          <w:kern w:val="2"/>
          <w:sz w:val="28"/>
          <w:szCs w:val="28"/>
          <w:lang w:val="en-US" w:eastAsia="zh-CN" w:bidi="ar-SA"/>
        </w:rPr>
        <w:fldChar w:fldCharType="begin"/>
      </w:r>
      <w:r>
        <w:rPr>
          <w:rFonts w:hint="eastAsia" w:ascii="黑体" w:hAnsi="黑体" w:eastAsia="黑体" w:cs="黑体"/>
          <w:b w:val="0"/>
          <w:bCs/>
          <w:color w:val="9D0300"/>
          <w:kern w:val="2"/>
          <w:sz w:val="28"/>
          <w:szCs w:val="28"/>
          <w:lang w:val="en-US" w:eastAsia="zh-CN" w:bidi="ar-SA"/>
        </w:rPr>
        <w:instrText xml:space="preserve"> SEQ 图 \* ARABIC </w:instrText>
      </w:r>
      <w:r>
        <w:rPr>
          <w:rFonts w:hint="eastAsia" w:ascii="黑体" w:hAnsi="黑体" w:eastAsia="黑体" w:cs="黑体"/>
          <w:b w:val="0"/>
          <w:bCs/>
          <w:color w:val="9D0300"/>
          <w:kern w:val="2"/>
          <w:sz w:val="28"/>
          <w:szCs w:val="28"/>
          <w:lang w:val="en-US" w:eastAsia="zh-CN" w:bidi="ar-SA"/>
        </w:rPr>
        <w:fldChar w:fldCharType="separate"/>
      </w:r>
      <w:r>
        <w:rPr>
          <w:rFonts w:hint="eastAsia" w:ascii="黑体" w:hAnsi="黑体" w:eastAsia="黑体" w:cs="黑体"/>
          <w:b w:val="0"/>
          <w:bCs/>
          <w:color w:val="9D0300"/>
          <w:kern w:val="2"/>
          <w:sz w:val="28"/>
          <w:szCs w:val="28"/>
          <w:lang w:val="en-US" w:eastAsia="zh-CN" w:bidi="ar-SA"/>
        </w:rPr>
        <w:t>29</w:t>
      </w:r>
      <w:r>
        <w:rPr>
          <w:rFonts w:hint="eastAsia" w:ascii="黑体" w:hAnsi="黑体" w:eastAsia="黑体" w:cs="黑体"/>
          <w:b w:val="0"/>
          <w:bCs/>
          <w:color w:val="9D0300"/>
          <w:kern w:val="2"/>
          <w:sz w:val="28"/>
          <w:szCs w:val="28"/>
          <w:lang w:val="en-US" w:eastAsia="zh-CN" w:bidi="ar-SA"/>
        </w:rPr>
        <w:fldChar w:fldCharType="end"/>
      </w:r>
      <w:bookmarkStart w:id="113" w:name="_Toc7178"/>
      <w:r>
        <w:rPr>
          <w:rFonts w:hint="eastAsia" w:ascii="黑体" w:hAnsi="黑体" w:eastAsia="黑体" w:cs="黑体"/>
          <w:b w:val="0"/>
          <w:bCs/>
          <w:color w:val="9D0300"/>
          <w:kern w:val="2"/>
          <w:sz w:val="28"/>
          <w:szCs w:val="28"/>
          <w:lang w:val="en-US" w:eastAsia="zh-CN" w:bidi="ar-SA"/>
        </w:rPr>
        <w:t xml:space="preserve"> 学校组织师生观看《榜样7》专题节目</w:t>
      </w:r>
      <w:bookmarkEnd w:id="113"/>
    </w:p>
    <w:p>
      <w:pPr>
        <w:pStyle w:val="6"/>
        <w:keepNext w:val="0"/>
        <w:keepLines w:val="0"/>
        <w:pageBreakBefore w:val="0"/>
        <w:widowControl w:val="0"/>
        <w:kinsoku/>
        <w:wordWrap/>
        <w:overflowPunct/>
        <w:topLinePunct w:val="0"/>
        <w:autoSpaceDE/>
        <w:autoSpaceDN/>
        <w:bidi w:val="0"/>
        <w:adjustRightInd/>
        <w:snapToGrid/>
        <w:textAlignment w:val="auto"/>
        <w:outlineLvl w:val="9"/>
        <w:rPr>
          <w:rFonts w:hint="eastAsia" w:ascii="华文新魏" w:hAnsi="华文新魏" w:eastAsia="华文新魏" w:cs="华文新魏"/>
          <w:b/>
          <w:bCs/>
          <w:color w:val="A20000"/>
          <w:sz w:val="32"/>
          <w:szCs w:val="32"/>
          <w:highlight w:val="none"/>
          <w:lang w:val="en-US" w:eastAsia="zh-CN"/>
        </w:rPr>
      </w:pPr>
      <w:r>
        <w:rPr>
          <w:rFonts w:hint="eastAsia" w:ascii="华文新魏" w:hAnsi="华文新魏" w:eastAsia="华文新魏" w:cs="华文新魏"/>
          <w:b/>
          <w:bCs/>
          <w:color w:val="A20000"/>
          <w:sz w:val="32"/>
          <w:szCs w:val="32"/>
          <w:highlight w:val="none"/>
        </w:rPr>
        <w:t xml:space="preserve">案例 </w:t>
      </w:r>
      <w:r>
        <w:rPr>
          <w:rFonts w:hint="eastAsia" w:ascii="华文新魏" w:hAnsi="华文新魏" w:eastAsia="华文新魏" w:cs="华文新魏"/>
          <w:b/>
          <w:bCs/>
          <w:color w:val="A20000"/>
          <w:sz w:val="32"/>
          <w:szCs w:val="32"/>
          <w:highlight w:val="none"/>
        </w:rPr>
        <w:fldChar w:fldCharType="begin"/>
      </w:r>
      <w:r>
        <w:rPr>
          <w:rFonts w:hint="eastAsia" w:ascii="华文新魏" w:hAnsi="华文新魏" w:eastAsia="华文新魏" w:cs="华文新魏"/>
          <w:b/>
          <w:bCs/>
          <w:color w:val="A20000"/>
          <w:sz w:val="32"/>
          <w:szCs w:val="32"/>
          <w:highlight w:val="none"/>
        </w:rPr>
        <w:instrText xml:space="preserve"> SEQ 案例 \* ARABIC </w:instrText>
      </w:r>
      <w:r>
        <w:rPr>
          <w:rFonts w:hint="eastAsia" w:ascii="华文新魏" w:hAnsi="华文新魏" w:eastAsia="华文新魏" w:cs="华文新魏"/>
          <w:b/>
          <w:bCs/>
          <w:color w:val="A20000"/>
          <w:sz w:val="32"/>
          <w:szCs w:val="32"/>
          <w:highlight w:val="none"/>
        </w:rPr>
        <w:fldChar w:fldCharType="separate"/>
      </w:r>
      <w:r>
        <w:rPr>
          <w:rFonts w:hint="eastAsia" w:ascii="华文新魏" w:hAnsi="华文新魏" w:eastAsia="华文新魏" w:cs="华文新魏"/>
          <w:b/>
          <w:bCs/>
          <w:color w:val="A20000"/>
          <w:sz w:val="32"/>
          <w:szCs w:val="32"/>
          <w:highlight w:val="none"/>
        </w:rPr>
        <w:t>20</w:t>
      </w:r>
      <w:r>
        <w:rPr>
          <w:rFonts w:hint="eastAsia" w:ascii="华文新魏" w:hAnsi="华文新魏" w:eastAsia="华文新魏" w:cs="华文新魏"/>
          <w:b/>
          <w:bCs/>
          <w:color w:val="A20000"/>
          <w:sz w:val="32"/>
          <w:szCs w:val="32"/>
          <w:highlight w:val="none"/>
        </w:rPr>
        <w:fldChar w:fldCharType="end"/>
      </w:r>
      <w:bookmarkStart w:id="114" w:name="_Toc6718"/>
      <w:r>
        <w:rPr>
          <w:rFonts w:hint="eastAsia" w:ascii="华文新魏" w:hAnsi="华文新魏" w:eastAsia="华文新魏" w:cs="华文新魏"/>
          <w:b/>
          <w:bCs/>
          <w:color w:val="A20000"/>
          <w:sz w:val="32"/>
          <w:szCs w:val="32"/>
          <w:highlight w:val="none"/>
        </w:rPr>
        <w:t>：党建领航工程助力学校高质量发展</w:t>
      </w:r>
      <w:bookmarkEnd w:id="114"/>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rPr>
      </w:pPr>
      <w:r>
        <w:rPr>
          <w:rFonts w:hint="eastAsia" w:ascii="楷体" w:hAnsi="楷体" w:eastAsia="楷体" w:cs="楷体"/>
          <w:sz w:val="28"/>
          <w:szCs w:val="28"/>
        </w:rPr>
        <w:t>一是坚持政治核心，确保正确方向。通过落实政治理论学习制度全面推进党委中心组、党员干部、职工师生政治理论学习，切实加强思想理论武装；教育引导广大师生更加坚定理想信念，更加牢固树立“四个意识”，坚定“四个自信”，做到“两个维护”，确保社会主义办学方向。</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rPr>
      </w:pPr>
      <w:r>
        <w:rPr>
          <w:rFonts w:hint="eastAsia" w:ascii="楷体" w:hAnsi="楷体" w:eastAsia="楷体" w:cs="楷体"/>
          <w:sz w:val="28"/>
          <w:szCs w:val="28"/>
        </w:rPr>
        <w:t>二是旗帜引领，强化组织建设。严格落实“三会一课”、主题党日、领导干部讲党课等组织生活制度；组织开展庆“七一”主题系列庆祝活动，赴红色教育基地开展党性教育，定期开展警示教育；完善落实“党员-骨干教师双培养”制度机制，切实加强党员教育管理，为学校改革发展提供坚强组织保证。</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rPr>
      </w:pPr>
      <w:r>
        <w:rPr>
          <w:rFonts w:hint="eastAsia" w:ascii="楷体" w:hAnsi="楷体" w:eastAsia="楷体" w:cs="楷体"/>
          <w:sz w:val="28"/>
          <w:szCs w:val="28"/>
        </w:rPr>
        <w:t>三是党员先锋，筑牢组织保障。定期组织开展各级各类志愿服务活动，开展校内外各类志愿服务活动10余场，参与共建城市书屋、社区义诊、急救培训、社区环境提升等工作。</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32"/>
          <w:szCs w:val="32"/>
        </w:rPr>
      </w:pPr>
      <w:r>
        <w:rPr>
          <w:rFonts w:hint="eastAsia" w:ascii="楷体" w:hAnsi="楷体" w:eastAsia="楷体" w:cs="楷体"/>
          <w:sz w:val="28"/>
          <w:szCs w:val="28"/>
        </w:rPr>
        <w:t>四是党建融合，引领高质量发展。在推动高水平学校建设过程中，创新实施“党建+”模式。医院、教学党支部以样板党支部打造为引领，以党员名医、名护士工作室建设为依托，带动专业教师深化“三教”改革，在科研、大赛等重大项目建设中发挥示范引领作用；行政、学生科党支部以党建带群团建设为路径，带动学校工会组织开展运动健身、文艺汇演、无偿献血、爱心捐助等活动，提高教职工思想道德素质，丰富精神文化生活；带动学校共青团开展丰富的学、练、赛、演等活动，深化“三全育人”综合改革，努力构建大思政格局。</w:t>
      </w:r>
    </w:p>
    <w:p>
      <w:pPr>
        <w:keepNext w:val="0"/>
        <w:keepLines w:val="0"/>
        <w:pageBreakBefore w:val="0"/>
        <w:widowControl w:val="0"/>
        <w:kinsoku/>
        <w:wordWrap/>
        <w:overflowPunct/>
        <w:topLinePunct w:val="0"/>
        <w:autoSpaceDE/>
        <w:autoSpaceDN/>
        <w:bidi w:val="0"/>
        <w:adjustRightInd/>
        <w:snapToGrid/>
        <w:ind w:firstLine="0"/>
        <w:jc w:val="center"/>
        <w:textAlignment w:val="auto"/>
        <w:rPr>
          <w:rFonts w:ascii="宋体" w:hAnsi="宋体" w:eastAsia="宋体" w:cs="宋体"/>
          <w:sz w:val="28"/>
          <w:szCs w:val="28"/>
        </w:rPr>
      </w:pPr>
      <w:r>
        <w:rPr>
          <w:rFonts w:ascii="宋体" w:hAnsi="宋体" w:eastAsia="宋体" w:cs="宋体"/>
          <w:sz w:val="28"/>
          <w:szCs w:val="28"/>
        </w:rPr>
        <w:drawing>
          <wp:inline distT="0" distB="0" distL="0" distR="0">
            <wp:extent cx="5579745" cy="3413125"/>
            <wp:effectExtent l="0" t="0" r="1905" b="158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38">
                      <a:extLst>
                        <a:ext uri="{28A0092B-C50C-407E-A947-70E740481C1C}">
                          <a14:useLocalDpi xmlns:a14="http://schemas.microsoft.com/office/drawing/2010/main" val="0"/>
                        </a:ext>
                      </a:extLst>
                    </a:blip>
                    <a:srcRect t="8130"/>
                    <a:stretch>
                      <a:fillRect/>
                    </a:stretch>
                  </pic:blipFill>
                  <pic:spPr>
                    <a:xfrm>
                      <a:off x="0" y="0"/>
                      <a:ext cx="5579745" cy="3413125"/>
                    </a:xfrm>
                    <a:prstGeom prst="rect">
                      <a:avLst/>
                    </a:prstGeom>
                    <a:noFill/>
                    <a:ln>
                      <a:noFill/>
                    </a:ln>
                  </pic:spPr>
                </pic:pic>
              </a:graphicData>
            </a:graphic>
          </wp:inline>
        </w:drawing>
      </w:r>
      <w:r>
        <w:rPr>
          <w:rFonts w:hint="eastAsia" w:ascii="宋体" w:hAnsi="宋体" w:eastAsia="宋体" w:cs="宋体"/>
          <w:sz w:val="28"/>
          <w:szCs w:val="28"/>
        </w:rPr>
        <w:t xml:space="preserve"> </w:t>
      </w:r>
    </w:p>
    <w:p>
      <w:pPr>
        <w:pStyle w:val="6"/>
        <w:jc w:val="center"/>
        <w:rPr>
          <w:rFonts w:hint="eastAsia" w:ascii="黑体" w:hAnsi="黑体" w:eastAsia="黑体" w:cs="黑体"/>
          <w:b w:val="0"/>
          <w:bCs/>
          <w:color w:val="9D0300"/>
          <w:kern w:val="2"/>
          <w:sz w:val="28"/>
          <w:szCs w:val="28"/>
          <w:lang w:val="en-US" w:eastAsia="zh-CN" w:bidi="ar-SA"/>
        </w:rPr>
      </w:pPr>
      <w:r>
        <w:rPr>
          <w:rFonts w:hint="eastAsia" w:ascii="黑体" w:hAnsi="黑体" w:eastAsia="黑体" w:cs="黑体"/>
          <w:b w:val="0"/>
          <w:bCs/>
          <w:color w:val="9D0300"/>
          <w:kern w:val="2"/>
          <w:sz w:val="28"/>
          <w:szCs w:val="28"/>
          <w:lang w:val="en-US" w:eastAsia="zh-CN" w:bidi="ar-SA"/>
        </w:rPr>
        <w:t xml:space="preserve">图 </w:t>
      </w:r>
      <w:r>
        <w:rPr>
          <w:rFonts w:hint="eastAsia" w:ascii="黑体" w:hAnsi="黑体" w:eastAsia="黑体" w:cs="黑体"/>
          <w:b w:val="0"/>
          <w:bCs/>
          <w:color w:val="9D0300"/>
          <w:kern w:val="2"/>
          <w:sz w:val="28"/>
          <w:szCs w:val="28"/>
          <w:lang w:val="en-US" w:eastAsia="zh-CN" w:bidi="ar-SA"/>
        </w:rPr>
        <w:fldChar w:fldCharType="begin"/>
      </w:r>
      <w:r>
        <w:rPr>
          <w:rFonts w:hint="eastAsia" w:ascii="黑体" w:hAnsi="黑体" w:eastAsia="黑体" w:cs="黑体"/>
          <w:b w:val="0"/>
          <w:bCs/>
          <w:color w:val="9D0300"/>
          <w:kern w:val="2"/>
          <w:sz w:val="28"/>
          <w:szCs w:val="28"/>
          <w:lang w:val="en-US" w:eastAsia="zh-CN" w:bidi="ar-SA"/>
        </w:rPr>
        <w:instrText xml:space="preserve"> SEQ 图 \* ARABIC </w:instrText>
      </w:r>
      <w:r>
        <w:rPr>
          <w:rFonts w:hint="eastAsia" w:ascii="黑体" w:hAnsi="黑体" w:eastAsia="黑体" w:cs="黑体"/>
          <w:b w:val="0"/>
          <w:bCs/>
          <w:color w:val="9D0300"/>
          <w:kern w:val="2"/>
          <w:sz w:val="28"/>
          <w:szCs w:val="28"/>
          <w:lang w:val="en-US" w:eastAsia="zh-CN" w:bidi="ar-SA"/>
        </w:rPr>
        <w:fldChar w:fldCharType="separate"/>
      </w:r>
      <w:r>
        <w:rPr>
          <w:rFonts w:hint="eastAsia" w:ascii="黑体" w:hAnsi="黑体" w:eastAsia="黑体" w:cs="黑体"/>
          <w:b w:val="0"/>
          <w:bCs/>
          <w:color w:val="9D0300"/>
          <w:kern w:val="2"/>
          <w:sz w:val="28"/>
          <w:szCs w:val="28"/>
          <w:lang w:val="en-US" w:eastAsia="zh-CN" w:bidi="ar-SA"/>
        </w:rPr>
        <w:t>30</w:t>
      </w:r>
      <w:r>
        <w:rPr>
          <w:rFonts w:hint="eastAsia" w:ascii="黑体" w:hAnsi="黑体" w:eastAsia="黑体" w:cs="黑体"/>
          <w:b w:val="0"/>
          <w:bCs/>
          <w:color w:val="9D0300"/>
          <w:kern w:val="2"/>
          <w:sz w:val="28"/>
          <w:szCs w:val="28"/>
          <w:lang w:val="en-US" w:eastAsia="zh-CN" w:bidi="ar-SA"/>
        </w:rPr>
        <w:fldChar w:fldCharType="end"/>
      </w:r>
      <w:bookmarkStart w:id="115" w:name="_Toc8315"/>
      <w:r>
        <w:rPr>
          <w:rFonts w:hint="eastAsia" w:ascii="黑体" w:hAnsi="黑体" w:eastAsia="黑体" w:cs="黑体"/>
          <w:b w:val="0"/>
          <w:bCs/>
          <w:color w:val="9D0300"/>
          <w:kern w:val="2"/>
          <w:sz w:val="28"/>
          <w:szCs w:val="28"/>
          <w:lang w:val="en-US" w:eastAsia="zh-CN" w:bidi="ar-SA"/>
        </w:rPr>
        <w:t xml:space="preserve"> 学校进行红色教育研学</w:t>
      </w:r>
      <w:bookmarkEnd w:id="115"/>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1"/>
        <w:rPr>
          <w:rFonts w:hint="eastAsia" w:ascii="黑体" w:hAnsi="黑体" w:eastAsia="黑体" w:cs="黑体"/>
          <w:color w:val="A20000"/>
          <w:sz w:val="30"/>
          <w:szCs w:val="30"/>
        </w:rPr>
      </w:pPr>
      <w:bookmarkStart w:id="116" w:name="_Toc23796"/>
      <w:r>
        <w:rPr>
          <w:rFonts w:hint="eastAsia" w:ascii="黑体" w:hAnsi="黑体" w:eastAsia="黑体" w:cs="黑体"/>
          <w:b/>
          <w:color w:val="A20000"/>
          <w:kern w:val="2"/>
          <w:sz w:val="30"/>
          <w:szCs w:val="30"/>
          <w:lang w:val="en-US" w:eastAsia="zh-CN" w:bidi="ar-SA"/>
        </w:rPr>
        <w:t>6.2落实国家职业教育政策</w:t>
      </w:r>
      <w:bookmarkEnd w:id="116"/>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b/>
          <w:bCs/>
          <w:color w:val="A20000"/>
          <w:sz w:val="28"/>
          <w:szCs w:val="28"/>
          <w:lang w:val="en-US" w:eastAsia="zh-CN"/>
        </w:rPr>
        <w:t>落实学校“十四五”规划。</w:t>
      </w:r>
      <w:r>
        <w:rPr>
          <w:rFonts w:hint="eastAsia" w:ascii="仿宋_GB2312" w:hAnsi="仿宋_GB2312" w:eastAsia="仿宋_GB2312" w:cs="仿宋_GB2312"/>
          <w:sz w:val="28"/>
          <w:szCs w:val="28"/>
        </w:rPr>
        <w:t>深入贯彻习近平总书记关于职业教育工作的重要指示和全国职业教育大会精神，贯彻《新职教法》，落实《教育部办公厅关于加快推进现代职业教育体系建设改革重点任务的通知》（以下简称《通知》），把习近平总书记重要指示和大会精神融进学校“十四五”发展规划，以建设山东省高水平学校为目标，围绕党建引领、教学改革、师资队伍、社会服务等方面提出“十大工程”，全面推进学校稳定发展，以规划为引领，推动学校实现高质量发展。</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b/>
          <w:bCs/>
          <w:color w:val="A20000"/>
          <w:sz w:val="28"/>
          <w:szCs w:val="28"/>
          <w:lang w:val="en-US" w:eastAsia="zh-CN"/>
        </w:rPr>
        <w:t>推进高水平学校建设项目。</w:t>
      </w:r>
      <w:r>
        <w:rPr>
          <w:rFonts w:hint="eastAsia" w:ascii="仿宋_GB2312" w:hAnsi="仿宋_GB2312" w:eastAsia="仿宋_GB2312" w:cs="仿宋_GB2312"/>
          <w:sz w:val="28"/>
          <w:szCs w:val="28"/>
        </w:rPr>
        <w:t>在</w:t>
      </w:r>
      <w:r>
        <w:rPr>
          <w:rFonts w:hint="eastAsia" w:ascii="仿宋_GB2312" w:hAnsi="仿宋_GB2312" w:eastAsia="仿宋_GB2312" w:cs="仿宋_GB2312"/>
          <w:sz w:val="28"/>
          <w:szCs w:val="28"/>
          <w:lang w:val="en-US" w:eastAsia="zh-CN"/>
        </w:rPr>
        <w:t>山东</w:t>
      </w:r>
      <w:r>
        <w:rPr>
          <w:rFonts w:hint="eastAsia" w:ascii="仿宋_GB2312" w:hAnsi="仿宋_GB2312" w:eastAsia="仿宋_GB2312" w:cs="仿宋_GB2312"/>
          <w:sz w:val="28"/>
          <w:szCs w:val="28"/>
        </w:rPr>
        <w:t>省示范校建设基础上，积极推进山东省高水平学校立项建设以及护理、药剂两个山东省高水平特色化专业，对标对表高水平学校项目建设任务书，打造省级以上标志性成果100多项，为学校高质量发展奠定坚实基础。</w:t>
      </w:r>
      <w:r>
        <w:rPr>
          <w:rFonts w:hint="eastAsia" w:ascii="仿宋_GB2312" w:hAnsi="仿宋_GB2312" w:eastAsia="仿宋_GB2312" w:cs="仿宋_GB2312"/>
          <w:sz w:val="28"/>
          <w:szCs w:val="28"/>
          <w:lang w:val="en-US" w:eastAsia="zh-CN"/>
        </w:rPr>
        <w:t>高标准完成山东省教学诊断与改进试点项目、山东省教学团队项目、山东省青年技能名师项目，同时积极对上争取政策支持，获批山东省体卫融合项目、在线开放课程、精品课程、教改项目等，助力学校提质培优。</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b/>
          <w:bCs/>
          <w:color w:val="A20000"/>
          <w:sz w:val="28"/>
          <w:szCs w:val="28"/>
          <w:lang w:val="en-US" w:eastAsia="zh-CN"/>
        </w:rPr>
        <w:t>优化师生保障服务体系。</w:t>
      </w:r>
      <w:r>
        <w:rPr>
          <w:rFonts w:hint="eastAsia" w:ascii="仿宋_GB2312" w:hAnsi="仿宋_GB2312" w:eastAsia="仿宋_GB2312" w:cs="仿宋_GB2312"/>
          <w:sz w:val="28"/>
          <w:szCs w:val="28"/>
        </w:rPr>
        <w:t>统筹抓好校园总体安全，完善人防、物防、技防“三位一体”校园安全稳定保障体系，开展全员安全教育和应急演练、网络安全、心理健康、校园传染病、食品安全、防溺水等人身安全系列教育，全力保障师生安全。加强招标采购工作，规范政府采购以及零星工程采购，保障基础设施设备需要。加强固定资产管理，全面清查学校固定资产，对报废的资产及时进行处理。重视节能减排工作，开源节流，优化资源利用，按照要求完成节能减排任务。</w:t>
      </w:r>
    </w:p>
    <w:p>
      <w:pPr>
        <w:pStyle w:val="3"/>
        <w:keepNext/>
        <w:keepLines/>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b/>
          <w:bCs w:val="0"/>
          <w:color w:val="A20000"/>
          <w:sz w:val="30"/>
          <w:szCs w:val="30"/>
        </w:rPr>
      </w:pPr>
      <w:bookmarkStart w:id="117" w:name="_Toc24339"/>
      <w:r>
        <w:rPr>
          <w:rFonts w:hint="eastAsia" w:ascii="黑体" w:hAnsi="黑体" w:eastAsia="黑体" w:cs="黑体"/>
          <w:b/>
          <w:bCs w:val="0"/>
          <w:color w:val="A20000"/>
          <w:sz w:val="30"/>
          <w:szCs w:val="30"/>
        </w:rPr>
        <w:t>6.</w:t>
      </w:r>
      <w:r>
        <w:rPr>
          <w:rFonts w:hint="eastAsia" w:ascii="黑体" w:hAnsi="黑体" w:eastAsia="黑体" w:cs="黑体"/>
          <w:b/>
          <w:bCs w:val="0"/>
          <w:color w:val="A20000"/>
          <w:sz w:val="30"/>
          <w:szCs w:val="30"/>
          <w:lang w:val="en-US" w:eastAsia="zh-CN"/>
        </w:rPr>
        <w:t>3</w:t>
      </w:r>
      <w:r>
        <w:rPr>
          <w:rFonts w:hint="eastAsia" w:ascii="黑体" w:hAnsi="黑体" w:eastAsia="黑体" w:cs="黑体"/>
          <w:b/>
          <w:bCs w:val="0"/>
          <w:color w:val="A20000"/>
          <w:sz w:val="30"/>
          <w:szCs w:val="30"/>
        </w:rPr>
        <w:t>质量保障体系建设</w:t>
      </w:r>
      <w:bookmarkEnd w:id="117"/>
    </w:p>
    <w:p>
      <w:pPr>
        <w:rPr>
          <w:rFonts w:hint="default" w:ascii="仿宋_GB2312" w:hAnsi="仿宋_GB2312" w:eastAsia="仿宋_GB2312" w:cs="仿宋_GB2312"/>
          <w:sz w:val="28"/>
          <w:szCs w:val="28"/>
          <w:lang w:val="en-US" w:eastAsia="zh-CN"/>
        </w:rPr>
      </w:pPr>
      <w:r>
        <w:rPr>
          <w:rFonts w:hint="eastAsia" w:ascii="黑体" w:hAnsi="黑体" w:eastAsia="黑体" w:cs="黑体"/>
          <w:color w:val="A20000"/>
          <w:sz w:val="30"/>
          <w:szCs w:val="30"/>
          <w:lang w:val="en-US" w:eastAsia="zh-CN"/>
        </w:rPr>
        <w:t xml:space="preserve">    </w:t>
      </w:r>
      <w:r>
        <w:rPr>
          <w:rFonts w:hint="eastAsia" w:ascii="仿宋_GB2312" w:hAnsi="仿宋_GB2312" w:eastAsia="仿宋_GB2312" w:cs="仿宋_GB2312"/>
          <w:b/>
          <w:bCs/>
          <w:color w:val="A20000"/>
          <w:sz w:val="28"/>
          <w:szCs w:val="28"/>
          <w:lang w:val="en-US" w:eastAsia="zh-CN"/>
        </w:rPr>
        <w:t>完善教学质量评价体系。</w:t>
      </w:r>
      <w:r>
        <w:rPr>
          <w:rFonts w:hint="eastAsia" w:ascii="仿宋_GB2312" w:hAnsi="仿宋_GB2312" w:eastAsia="仿宋_GB2312" w:cs="仿宋_GB2312"/>
          <w:sz w:val="28"/>
          <w:szCs w:val="28"/>
          <w:lang w:val="en-US" w:eastAsia="zh-CN"/>
        </w:rPr>
        <w:t>学校持续改革教学质量评价主体和评价方式，构建学校、企业、社会、家庭多方参与的教学评价体系。完善教学评价体系，修订《课堂教学评价标准》，修订《教学督导管理办法》，保证课堂教学质量。严格教学检查，建立健全线上巡察与随堂听课相结合的常态化督导制度，保证良好教学秩序。完善学生评价体系，修订《学生学业成绩考核评价办法》，建立过程性评价与增值性评价相结合的实施路径，引导学生高质量完成学业。学校在烟台市教育局2022年办学质量考核评价中获A等次。</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color w:val="A20000"/>
          <w:sz w:val="28"/>
          <w:szCs w:val="28"/>
          <w:lang w:val="en-US" w:eastAsia="zh-CN"/>
        </w:rPr>
        <w:t>省级教学诊断与改进试点验收。</w:t>
      </w:r>
      <w:r>
        <w:rPr>
          <w:rFonts w:hint="eastAsia" w:ascii="仿宋_GB2312" w:hAnsi="仿宋_GB2312" w:eastAsia="仿宋_GB2312" w:cs="仿宋_GB2312"/>
          <w:sz w:val="28"/>
          <w:szCs w:val="28"/>
          <w:lang w:val="en-US" w:eastAsia="zh-CN"/>
        </w:rPr>
        <w:t>学校依托省级教学诊断与改进试点项目，</w:t>
      </w:r>
      <w:r>
        <w:rPr>
          <w:rFonts w:hint="eastAsia" w:ascii="仿宋_GB2312" w:hAnsi="仿宋_GB2312" w:eastAsia="仿宋_GB2312" w:cs="仿宋_GB2312"/>
          <w:sz w:val="28"/>
          <w:szCs w:val="28"/>
        </w:rPr>
        <w:t>对学校办学水平、育人成效、教师专业素质、学生学业质量、学校教学管理等方面进行评估，形成总结报告和典型案例</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建立8字形质量改进螺旋运行机制，搭建了“机制与文化”双引擎助推、“教学诊断与改进大数据平台”为支撑、具有较强预警功能和激励作用的内部质量保证体系。落实国家、省、校三级职业教育督导体系，强化校内教育督导，即学年计划和校内教育督导计划相结合、个人自查自评和学校的期终年末总体评比相结合、学校督导和学校其他教育评价相结合，形成科学有效的督导体系。山东省教学诊改试点现场复核</w:t>
      </w:r>
      <w:r>
        <w:rPr>
          <w:rFonts w:hint="eastAsia" w:ascii="仿宋_GB2312" w:hAnsi="仿宋_GB2312" w:eastAsia="仿宋_GB2312" w:cs="仿宋_GB2312"/>
          <w:sz w:val="28"/>
          <w:szCs w:val="28"/>
          <w:lang w:val="en-US" w:eastAsia="zh-CN"/>
        </w:rPr>
        <w:t>期间</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学校</w:t>
      </w:r>
      <w:r>
        <w:rPr>
          <w:rFonts w:hint="eastAsia" w:ascii="仿宋_GB2312" w:hAnsi="仿宋_GB2312" w:eastAsia="仿宋_GB2312" w:cs="仿宋_GB2312"/>
          <w:sz w:val="28"/>
          <w:szCs w:val="28"/>
          <w:lang w:val="en-US" w:eastAsia="zh-CN"/>
        </w:rPr>
        <w:t>依次</w:t>
      </w:r>
      <w:r>
        <w:rPr>
          <w:rFonts w:hint="eastAsia" w:ascii="仿宋_GB2312" w:hAnsi="仿宋_GB2312" w:eastAsia="仿宋_GB2312" w:cs="仿宋_GB2312"/>
          <w:sz w:val="28"/>
          <w:szCs w:val="28"/>
        </w:rPr>
        <w:t>汇报了学校层面诊改情况</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学校层面专业诊改情况</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学校自选层面课程诊改情况</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学校信息化建设情况</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护理专业诊改情况</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《语文》《儿科护理》两门课程诊改情况</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受到专家一致肯定，</w:t>
      </w:r>
      <w:r>
        <w:rPr>
          <w:rFonts w:hint="eastAsia" w:ascii="仿宋_GB2312" w:hAnsi="仿宋_GB2312" w:eastAsia="仿宋_GB2312" w:cs="仿宋_GB2312"/>
          <w:sz w:val="28"/>
          <w:szCs w:val="28"/>
        </w:rPr>
        <w:t>山东省教学诊断与改进试点项目验收有效。</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b/>
          <w:bCs/>
          <w:color w:val="A20000"/>
          <w:sz w:val="28"/>
          <w:szCs w:val="28"/>
          <w:lang w:val="en-US" w:eastAsia="zh-CN"/>
        </w:rPr>
        <w:t>完善学校内部治理体系。</w:t>
      </w:r>
      <w:r>
        <w:rPr>
          <w:rFonts w:hint="eastAsia" w:ascii="仿宋_GB2312" w:hAnsi="仿宋_GB2312" w:eastAsia="仿宋_GB2312" w:cs="仿宋_GB2312"/>
          <w:sz w:val="28"/>
          <w:szCs w:val="28"/>
        </w:rPr>
        <w:t>以章程为统领的现代学校制度，健全以党组织为核心，理事会（董事会）、教职工代表大会、家长委员会、校务委员会等为主体的内部治理结构。建立行业、企业、社区、政府等共同参与的治理机制，推进治理能力现代化。落实教育部《中等职业学校校长专业标准》，提升管理队伍水平，要求各中职学校建立校级教学指导委员会、专业建设委员会和教材选用委员会，指导和促进教学改革与专业建设。实施全面质量管理，以质量文化为引领推进教学诊改，完善内部质量保证体系。落实中共中央、国务院《深化新时代教育评价改革总体方案》，建立科学、符合时代要求的教育评价制度和机制。加强学生管理，形成管理队伍素质优良、制度健全的学生成长支持体系。构建一体化数字校园生态。建设数字校园统一身份认证平台的办事大厅，实现学校信息资源整合、身份统一认证、一网通办，盘活数据资产。修订完善后勤服务等管理制度，不断构建内部治理制度体系。</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华文新魏" w:hAnsi="华文新魏" w:eastAsia="华文新魏" w:cs="华文新魏"/>
          <w:b/>
          <w:bCs/>
          <w:color w:val="A20000"/>
          <w:sz w:val="32"/>
          <w:szCs w:val="32"/>
          <w:highlight w:val="none"/>
          <w:lang w:val="en-US" w:eastAsia="zh-CN"/>
        </w:rPr>
      </w:pPr>
      <w:r>
        <w:rPr>
          <w:rFonts w:hint="eastAsia" w:ascii="华文新魏" w:hAnsi="华文新魏" w:eastAsia="华文新魏" w:cs="华文新魏"/>
          <w:b/>
          <w:bCs/>
          <w:color w:val="A20000"/>
          <w:sz w:val="32"/>
          <w:szCs w:val="32"/>
          <w:highlight w:val="none"/>
        </w:rPr>
        <w:t xml:space="preserve">案例 </w:t>
      </w:r>
      <w:r>
        <w:rPr>
          <w:rFonts w:hint="eastAsia" w:ascii="华文新魏" w:hAnsi="华文新魏" w:eastAsia="华文新魏" w:cs="华文新魏"/>
          <w:b/>
          <w:bCs/>
          <w:color w:val="A20000"/>
          <w:sz w:val="32"/>
          <w:szCs w:val="32"/>
          <w:highlight w:val="none"/>
        </w:rPr>
        <w:fldChar w:fldCharType="begin"/>
      </w:r>
      <w:r>
        <w:rPr>
          <w:rFonts w:hint="eastAsia" w:ascii="华文新魏" w:hAnsi="华文新魏" w:eastAsia="华文新魏" w:cs="华文新魏"/>
          <w:b/>
          <w:bCs/>
          <w:color w:val="A20000"/>
          <w:sz w:val="32"/>
          <w:szCs w:val="32"/>
          <w:highlight w:val="none"/>
        </w:rPr>
        <w:instrText xml:space="preserve"> SEQ 案例 \* ARABIC </w:instrText>
      </w:r>
      <w:r>
        <w:rPr>
          <w:rFonts w:hint="eastAsia" w:ascii="华文新魏" w:hAnsi="华文新魏" w:eastAsia="华文新魏" w:cs="华文新魏"/>
          <w:b/>
          <w:bCs/>
          <w:color w:val="A20000"/>
          <w:sz w:val="32"/>
          <w:szCs w:val="32"/>
          <w:highlight w:val="none"/>
        </w:rPr>
        <w:fldChar w:fldCharType="separate"/>
      </w:r>
      <w:r>
        <w:rPr>
          <w:rFonts w:hint="eastAsia" w:ascii="华文新魏" w:hAnsi="华文新魏" w:eastAsia="华文新魏" w:cs="华文新魏"/>
          <w:b/>
          <w:bCs/>
          <w:color w:val="A20000"/>
          <w:sz w:val="32"/>
          <w:szCs w:val="32"/>
          <w:highlight w:val="none"/>
        </w:rPr>
        <w:t>21</w:t>
      </w:r>
      <w:r>
        <w:rPr>
          <w:rFonts w:hint="eastAsia" w:ascii="华文新魏" w:hAnsi="华文新魏" w:eastAsia="华文新魏" w:cs="华文新魏"/>
          <w:b/>
          <w:bCs/>
          <w:color w:val="A20000"/>
          <w:sz w:val="32"/>
          <w:szCs w:val="32"/>
          <w:highlight w:val="none"/>
        </w:rPr>
        <w:fldChar w:fldCharType="end"/>
      </w:r>
      <w:bookmarkStart w:id="118" w:name="_Toc11172"/>
      <w:r>
        <w:rPr>
          <w:rFonts w:hint="eastAsia" w:ascii="华文新魏" w:hAnsi="华文新魏" w:eastAsia="华文新魏" w:cs="华文新魏"/>
          <w:b/>
          <w:bCs/>
          <w:color w:val="A20000"/>
          <w:sz w:val="32"/>
          <w:szCs w:val="32"/>
          <w:highlight w:val="none"/>
        </w:rPr>
        <w:t>：</w:t>
      </w:r>
      <w:r>
        <w:rPr>
          <w:rFonts w:hint="eastAsia" w:ascii="华文新魏" w:hAnsi="华文新魏" w:eastAsia="华文新魏" w:cs="华文新魏"/>
          <w:b/>
          <w:bCs/>
          <w:color w:val="A20000"/>
          <w:sz w:val="32"/>
          <w:szCs w:val="32"/>
          <w:highlight w:val="none"/>
          <w:lang w:val="en-US" w:eastAsia="zh-CN"/>
        </w:rPr>
        <w:t>完善</w:t>
      </w:r>
      <w:r>
        <w:rPr>
          <w:rFonts w:hint="eastAsia" w:ascii="华文新魏" w:hAnsi="华文新魏" w:eastAsia="华文新魏" w:cs="华文新魏"/>
          <w:b/>
          <w:bCs/>
          <w:color w:val="A20000"/>
          <w:sz w:val="32"/>
          <w:szCs w:val="32"/>
          <w:highlight w:val="none"/>
        </w:rPr>
        <w:t>“一卡两端三平台”</w:t>
      </w:r>
      <w:r>
        <w:rPr>
          <w:rFonts w:hint="eastAsia" w:ascii="华文新魏" w:hAnsi="华文新魏" w:eastAsia="华文新魏" w:cs="华文新魏"/>
          <w:b/>
          <w:bCs/>
          <w:color w:val="A20000"/>
          <w:sz w:val="32"/>
          <w:szCs w:val="32"/>
          <w:highlight w:val="none"/>
          <w:lang w:val="en-US" w:eastAsia="zh-CN"/>
        </w:rPr>
        <w:t>平台</w:t>
      </w:r>
      <w:r>
        <w:rPr>
          <w:rFonts w:hint="eastAsia" w:ascii="华文新魏" w:hAnsi="华文新魏" w:eastAsia="华文新魏" w:cs="华文新魏"/>
          <w:b/>
          <w:bCs/>
          <w:color w:val="A20000"/>
          <w:sz w:val="32"/>
          <w:szCs w:val="32"/>
          <w:highlight w:val="none"/>
        </w:rPr>
        <w:t>，实现师生“零跑腿”</w:t>
      </w:r>
      <w:bookmarkEnd w:id="118"/>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楷体" w:hAnsi="楷体" w:eastAsia="楷体" w:cs="楷体"/>
          <w:sz w:val="28"/>
          <w:szCs w:val="28"/>
        </w:rPr>
      </w:pPr>
      <w:r>
        <w:rPr>
          <w:rFonts w:hint="eastAsia" w:ascii="楷体" w:hAnsi="楷体" w:eastAsia="楷体" w:cs="楷体"/>
          <w:sz w:val="28"/>
          <w:szCs w:val="28"/>
        </w:rPr>
        <w:t>学校践行全员全程全方位服务理念，构建了 “一卡两端三平台”数字校园信息化体系和数字化生态，建立了统一信息标准、统一身份认证、统一信息门户、统一管理平台、统一第三方应用管理，覆盖学生、教职工全生命周期的一站式服务门户，实现了实体卡、虚拟卡、云闪付聚合应用，满足师生餐饮、洗浴、挂失消费、图书借阅、多媒体使用等全部服务。学习通微服务和企业微信两端增设微应用模块，完全满足公物维修、请假销假等需求。校务平台、数字化医院平台、实习管理平台满足学校教育教学、学生管理和社会服务三大职能，建立起全过程学校内部治理和质量监控体系，支撑起学校信息化发展需求，满足全体师生的学习、工作、生活需求，实现师生少跑腿。</w:t>
      </w:r>
    </w:p>
    <w:p>
      <w:pPr>
        <w:pStyle w:val="3"/>
        <w:keepNext/>
        <w:keepLines/>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color w:val="A20000"/>
          <w:sz w:val="30"/>
          <w:szCs w:val="30"/>
          <w:lang w:val="en-US" w:eastAsia="zh-CN"/>
        </w:rPr>
      </w:pPr>
      <w:bookmarkStart w:id="119" w:name="_Toc19751"/>
      <w:r>
        <w:rPr>
          <w:rFonts w:hint="eastAsia" w:ascii="黑体" w:hAnsi="黑体" w:eastAsia="黑体" w:cs="黑体"/>
          <w:color w:val="A20000"/>
          <w:sz w:val="30"/>
          <w:szCs w:val="30"/>
        </w:rPr>
        <w:t>6.</w:t>
      </w:r>
      <w:r>
        <w:rPr>
          <w:rFonts w:hint="eastAsia" w:cs="黑体"/>
          <w:color w:val="A20000"/>
          <w:sz w:val="30"/>
          <w:szCs w:val="30"/>
          <w:lang w:val="en-US" w:eastAsia="zh-CN"/>
        </w:rPr>
        <w:t>4</w:t>
      </w:r>
      <w:r>
        <w:rPr>
          <w:rFonts w:hint="eastAsia" w:ascii="黑体" w:hAnsi="黑体" w:eastAsia="黑体" w:cs="黑体"/>
          <w:color w:val="A20000"/>
          <w:sz w:val="30"/>
          <w:szCs w:val="30"/>
          <w:lang w:val="en-US" w:eastAsia="zh-CN"/>
        </w:rPr>
        <w:t>队伍保障</w:t>
      </w:r>
      <w:bookmarkEnd w:id="119"/>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b w:val="0"/>
          <w:bCs/>
          <w:color w:val="000000" w:themeColor="text1"/>
          <w:sz w:val="28"/>
          <w:szCs w:val="28"/>
          <w:lang w:eastAsia="zh-CN"/>
          <w14:textFill>
            <w14:solidFill>
              <w14:schemeClr w14:val="tx1"/>
            </w14:solidFill>
          </w14:textFill>
        </w:rPr>
      </w:pPr>
      <w:r>
        <w:rPr>
          <w:rFonts w:hint="eastAsia" w:ascii="仿宋_GB2312" w:hAnsi="仿宋_GB2312" w:eastAsia="仿宋_GB2312" w:cs="仿宋_GB2312"/>
          <w:b/>
          <w:bCs/>
          <w:color w:val="A20000"/>
          <w:sz w:val="28"/>
          <w:szCs w:val="28"/>
          <w:lang w:val="en-US" w:eastAsia="zh-CN"/>
        </w:rPr>
        <w:t>加大人才队伍建设。</w:t>
      </w:r>
      <w:r>
        <w:rPr>
          <w:rFonts w:hint="eastAsia" w:ascii="仿宋_GB2312" w:hAnsi="仿宋_GB2312" w:eastAsia="仿宋_GB2312" w:cs="仿宋_GB2312"/>
          <w:sz w:val="28"/>
          <w:szCs w:val="28"/>
          <w:lang w:val="en-US" w:eastAsia="zh-CN"/>
        </w:rPr>
        <w:t>学校高度</w:t>
      </w:r>
      <w:r>
        <w:rPr>
          <w:rFonts w:hint="eastAsia" w:ascii="仿宋_GB2312" w:hAnsi="仿宋_GB2312" w:eastAsia="仿宋_GB2312" w:cs="仿宋_GB2312"/>
          <w:sz w:val="28"/>
          <w:szCs w:val="28"/>
        </w:rPr>
        <w:t>重视人才引进，大力招才引智，严格规范招考程序，完成36名总量控制人员招聘工作，其中</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招聘硕士研究生14人。规范开展专业技术职务晋升推荐工作，改善师资队伍结构，其中</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名教师被评为</w:t>
      </w:r>
      <w:r>
        <w:rPr>
          <w:rFonts w:hint="eastAsia" w:ascii="仿宋_GB2312" w:hAnsi="仿宋_GB2312" w:eastAsia="仿宋_GB2312" w:cs="仿宋_GB2312"/>
          <w:sz w:val="28"/>
          <w:szCs w:val="28"/>
        </w:rPr>
        <w:t>正高级讲师任职资格，11</w:t>
      </w:r>
      <w:r>
        <w:rPr>
          <w:rFonts w:hint="eastAsia" w:ascii="仿宋_GB2312" w:hAnsi="仿宋_GB2312" w:eastAsia="仿宋_GB2312" w:cs="仿宋_GB2312"/>
          <w:sz w:val="28"/>
          <w:szCs w:val="28"/>
          <w:lang w:val="en-US" w:eastAsia="zh-CN"/>
        </w:rPr>
        <w:t>名教师</w:t>
      </w:r>
      <w:r>
        <w:rPr>
          <w:rFonts w:hint="eastAsia" w:ascii="仿宋_GB2312" w:hAnsi="仿宋_GB2312" w:eastAsia="仿宋_GB2312" w:cs="仿宋_GB2312"/>
          <w:sz w:val="28"/>
          <w:szCs w:val="28"/>
        </w:rPr>
        <w:t>获得高级讲师任职资格，1人获副主任医师任职资格，1人获副主任护师任职资格。加大双师教师培养力度，提升专业技能和实践教学能力，</w:t>
      </w:r>
      <w:r>
        <w:rPr>
          <w:rFonts w:hint="eastAsia" w:ascii="仿宋_GB2312" w:hAnsi="仿宋_GB2312" w:eastAsia="仿宋_GB2312" w:cs="仿宋_GB2312"/>
          <w:sz w:val="28"/>
          <w:szCs w:val="28"/>
          <w:lang w:val="en-US" w:eastAsia="zh-CN"/>
        </w:rPr>
        <w:t>增加“</w:t>
      </w:r>
      <w:r>
        <w:rPr>
          <w:rFonts w:hint="eastAsia" w:ascii="仿宋_GB2312" w:hAnsi="仿宋_GB2312" w:eastAsia="仿宋_GB2312" w:cs="仿宋_GB2312"/>
          <w:sz w:val="28"/>
          <w:szCs w:val="28"/>
        </w:rPr>
        <w:t>双师型</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教师3人。学校师资队伍规模与结构日益完善，师资规模与结构</w:t>
      </w:r>
      <w:r>
        <w:rPr>
          <w:rFonts w:hint="eastAsia" w:ascii="仿宋_GB2312" w:hAnsi="仿宋_GB2312" w:eastAsia="仿宋_GB2312" w:cs="仿宋_GB2312"/>
          <w:sz w:val="28"/>
          <w:szCs w:val="28"/>
          <w:lang w:val="en-US" w:eastAsia="zh-CN"/>
        </w:rPr>
        <w:t>更加合理，</w:t>
      </w:r>
      <w:r>
        <w:rPr>
          <w:rFonts w:hint="eastAsia" w:ascii="仿宋_GB2312" w:hAnsi="仿宋_GB2312" w:eastAsia="仿宋_GB2312" w:cs="仿宋_GB2312"/>
          <w:sz w:val="28"/>
          <w:szCs w:val="28"/>
        </w:rPr>
        <w:t>为</w:t>
      </w:r>
      <w:r>
        <w:rPr>
          <w:rFonts w:hint="eastAsia" w:ascii="仿宋_GB2312" w:hAnsi="仿宋_GB2312" w:eastAsia="仿宋_GB2312" w:cs="仿宋_GB2312"/>
          <w:sz w:val="28"/>
          <w:szCs w:val="28"/>
          <w:lang w:val="en-US" w:eastAsia="zh-CN"/>
        </w:rPr>
        <w:t>学校高质量发展</w:t>
      </w:r>
      <w:r>
        <w:rPr>
          <w:rFonts w:hint="eastAsia" w:ascii="仿宋_GB2312" w:hAnsi="仿宋_GB2312" w:eastAsia="仿宋_GB2312" w:cs="仿宋_GB2312"/>
          <w:sz w:val="28"/>
          <w:szCs w:val="28"/>
        </w:rPr>
        <w:t>提供了</w:t>
      </w:r>
      <w:r>
        <w:rPr>
          <w:rFonts w:hint="eastAsia" w:ascii="仿宋_GB2312" w:hAnsi="仿宋_GB2312" w:eastAsia="仿宋_GB2312" w:cs="仿宋_GB2312"/>
          <w:sz w:val="28"/>
          <w:szCs w:val="28"/>
          <w:lang w:val="en-US" w:eastAsia="zh-CN"/>
        </w:rPr>
        <w:t>强有力的</w:t>
      </w:r>
      <w:r>
        <w:rPr>
          <w:rFonts w:hint="eastAsia" w:ascii="仿宋_GB2312" w:hAnsi="仿宋_GB2312" w:eastAsia="仿宋_GB2312" w:cs="仿宋_GB2312"/>
          <w:sz w:val="28"/>
          <w:szCs w:val="28"/>
        </w:rPr>
        <w:t>人才保证。</w:t>
      </w:r>
      <w:r>
        <w:rPr>
          <w:rFonts w:hint="eastAsia" w:ascii="仿宋_GB2312" w:hAnsi="仿宋_GB2312" w:eastAsia="仿宋_GB2312" w:cs="仿宋_GB2312"/>
          <w:sz w:val="28"/>
          <w:szCs w:val="28"/>
          <w:lang w:val="en-US" w:eastAsia="zh-CN"/>
        </w:rPr>
        <w:t>截至2023年8月31日，</w:t>
      </w:r>
      <w:r>
        <w:rPr>
          <w:rFonts w:hint="eastAsia" w:ascii="仿宋_GB2312" w:hAnsi="仿宋_GB2312" w:eastAsia="仿宋_GB2312" w:cs="仿宋_GB2312"/>
          <w:sz w:val="28"/>
          <w:szCs w:val="28"/>
        </w:rPr>
        <w:t>学校</w:t>
      </w:r>
      <w:r>
        <w:rPr>
          <w:rFonts w:hint="eastAsia" w:ascii="仿宋_GB2312" w:hAnsi="仿宋_GB2312" w:eastAsia="仿宋_GB2312" w:cs="仿宋_GB2312"/>
          <w:sz w:val="28"/>
          <w:szCs w:val="28"/>
          <w:lang w:val="en-US" w:eastAsia="zh-CN"/>
        </w:rPr>
        <w:t>拥有</w:t>
      </w:r>
      <w:r>
        <w:rPr>
          <w:rFonts w:hint="eastAsia" w:ascii="仿宋_GB2312" w:hAnsi="仿宋_GB2312" w:eastAsia="仿宋_GB2312" w:cs="仿宋_GB2312"/>
          <w:sz w:val="28"/>
          <w:szCs w:val="28"/>
        </w:rPr>
        <w:t>教职工人员26</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人，专任教师197人，其中</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专业教师111人，“双师型”教师79人，专业教师</w:t>
      </w:r>
      <w:r>
        <w:rPr>
          <w:rFonts w:hint="eastAsia" w:ascii="仿宋_GB2312" w:hAnsi="仿宋_GB2312" w:eastAsia="仿宋_GB2312" w:cs="仿宋_GB2312"/>
          <w:sz w:val="28"/>
          <w:szCs w:val="28"/>
          <w:lang w:val="en-US" w:eastAsia="zh-CN"/>
        </w:rPr>
        <w:t>中</w:t>
      </w:r>
      <w:r>
        <w:rPr>
          <w:rFonts w:hint="eastAsia" w:ascii="仿宋_GB2312" w:hAnsi="仿宋_GB2312" w:eastAsia="仿宋_GB2312" w:cs="仿宋_GB2312"/>
          <w:sz w:val="28"/>
          <w:szCs w:val="28"/>
        </w:rPr>
        <w:t>“双师型”</w:t>
      </w:r>
      <w:r>
        <w:rPr>
          <w:rFonts w:hint="eastAsia" w:ascii="仿宋_GB2312" w:hAnsi="仿宋_GB2312" w:eastAsia="仿宋_GB2312" w:cs="仿宋_GB2312"/>
          <w:sz w:val="28"/>
          <w:szCs w:val="28"/>
          <w:lang w:val="en-US" w:eastAsia="zh-CN"/>
        </w:rPr>
        <w:t>占比</w:t>
      </w:r>
      <w:r>
        <w:rPr>
          <w:rFonts w:hint="eastAsia" w:ascii="仿宋_GB2312" w:hAnsi="仿宋_GB2312" w:eastAsia="仿宋_GB2312" w:cs="仿宋_GB2312"/>
          <w:sz w:val="28"/>
          <w:szCs w:val="28"/>
        </w:rPr>
        <w:t>71.17%，聘用</w:t>
      </w:r>
      <w:r>
        <w:rPr>
          <w:rFonts w:hint="eastAsia" w:ascii="仿宋_GB2312" w:hAnsi="仿宋_GB2312" w:eastAsia="仿宋_GB2312" w:cs="仿宋_GB2312"/>
          <w:sz w:val="28"/>
          <w:szCs w:val="28"/>
          <w:lang w:val="en-US" w:eastAsia="zh-CN"/>
        </w:rPr>
        <w:t>来自行业企业的</w:t>
      </w:r>
      <w:r>
        <w:rPr>
          <w:rFonts w:hint="eastAsia" w:ascii="仿宋_GB2312" w:hAnsi="仿宋_GB2312" w:eastAsia="仿宋_GB2312" w:cs="仿宋_GB2312"/>
          <w:sz w:val="28"/>
          <w:szCs w:val="28"/>
        </w:rPr>
        <w:t>兼职教师26人，生师比10.65:1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专任教师本科以上学历197人，硕士以上学历89人，占比45.18%</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副高级以上职称专任教师68人（其中正高级职称13人），占比34.52%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见图31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w:t>
      </w:r>
    </w:p>
    <w:p>
      <w:pPr>
        <w:rPr>
          <w:rFonts w:ascii="仿宋_GB2312" w:hAnsi="仿宋_GB2312" w:eastAsia="仿宋_GB2312" w:cs="仿宋_GB2312"/>
          <w:sz w:val="32"/>
          <w:szCs w:val="32"/>
        </w:rPr>
      </w:pPr>
      <w:r>
        <w:rPr>
          <w:rFonts w:ascii="仿宋_GB2312" w:hAnsi="仿宋_GB2312" w:eastAsia="仿宋_GB2312" w:cs="仿宋_GB2312"/>
          <w:sz w:val="32"/>
          <w:szCs w:val="32"/>
        </w:rPr>
        <w:drawing>
          <wp:inline distT="0" distB="0" distL="0" distR="0">
            <wp:extent cx="5506720" cy="2788285"/>
            <wp:effectExtent l="0" t="0" r="17780" b="12065"/>
            <wp:docPr id="28639180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391807" name="图片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5506720" cy="2788285"/>
                    </a:xfrm>
                    <a:prstGeom prst="rect">
                      <a:avLst/>
                    </a:prstGeom>
                    <a:noFill/>
                  </pic:spPr>
                </pic:pic>
              </a:graphicData>
            </a:graphic>
          </wp:inline>
        </w:drawing>
      </w:r>
    </w:p>
    <w:p>
      <w:pPr>
        <w:pStyle w:val="6"/>
        <w:jc w:val="center"/>
        <w:rPr>
          <w:rFonts w:hint="eastAsia" w:ascii="黑体" w:hAnsi="黑体" w:eastAsia="黑体" w:cs="黑体"/>
          <w:color w:val="9D0300"/>
          <w:sz w:val="28"/>
          <w:szCs w:val="28"/>
          <w:lang w:val="en-US" w:eastAsia="zh-CN"/>
        </w:rPr>
      </w:pPr>
      <w:bookmarkStart w:id="120" w:name="_Toc13103"/>
      <w:r>
        <w:rPr>
          <w:rFonts w:hint="eastAsia" w:ascii="黑体" w:hAnsi="黑体" w:eastAsia="黑体" w:cs="黑体"/>
          <w:color w:val="9D0300"/>
          <w:sz w:val="28"/>
          <w:szCs w:val="28"/>
          <w:lang w:val="en-US" w:eastAsia="zh-CN"/>
        </w:rPr>
        <w:t xml:space="preserve">图 </w:t>
      </w:r>
      <w:r>
        <w:rPr>
          <w:rFonts w:hint="eastAsia" w:ascii="黑体" w:hAnsi="黑体" w:eastAsia="黑体" w:cs="黑体"/>
          <w:color w:val="9D0300"/>
          <w:sz w:val="28"/>
          <w:szCs w:val="28"/>
          <w:lang w:val="en-US" w:eastAsia="zh-CN"/>
        </w:rPr>
        <w:fldChar w:fldCharType="begin"/>
      </w:r>
      <w:r>
        <w:rPr>
          <w:rFonts w:hint="eastAsia" w:ascii="黑体" w:hAnsi="黑体" w:eastAsia="黑体" w:cs="黑体"/>
          <w:color w:val="9D0300"/>
          <w:sz w:val="28"/>
          <w:szCs w:val="28"/>
          <w:lang w:val="en-US" w:eastAsia="zh-CN"/>
        </w:rPr>
        <w:instrText xml:space="preserve"> SEQ 图 \* ARABIC </w:instrText>
      </w:r>
      <w:r>
        <w:rPr>
          <w:rFonts w:hint="eastAsia" w:ascii="黑体" w:hAnsi="黑体" w:eastAsia="黑体" w:cs="黑体"/>
          <w:color w:val="9D0300"/>
          <w:sz w:val="28"/>
          <w:szCs w:val="28"/>
          <w:lang w:val="en-US" w:eastAsia="zh-CN"/>
        </w:rPr>
        <w:fldChar w:fldCharType="separate"/>
      </w:r>
      <w:r>
        <w:rPr>
          <w:rFonts w:hint="eastAsia" w:ascii="黑体" w:hAnsi="黑体" w:eastAsia="黑体" w:cs="黑体"/>
          <w:color w:val="9D0300"/>
          <w:sz w:val="28"/>
          <w:szCs w:val="28"/>
          <w:lang w:val="en-US" w:eastAsia="zh-CN"/>
        </w:rPr>
        <w:t>31</w:t>
      </w:r>
      <w:r>
        <w:rPr>
          <w:rFonts w:hint="eastAsia" w:ascii="黑体" w:hAnsi="黑体" w:eastAsia="黑体" w:cs="黑体"/>
          <w:color w:val="9D0300"/>
          <w:sz w:val="28"/>
          <w:szCs w:val="28"/>
          <w:lang w:val="en-US" w:eastAsia="zh-CN"/>
        </w:rPr>
        <w:fldChar w:fldCharType="end"/>
      </w:r>
      <w:bookmarkStart w:id="121" w:name="_Toc14466"/>
      <w:r>
        <w:rPr>
          <w:rFonts w:hint="eastAsia" w:ascii="黑体" w:hAnsi="黑体" w:eastAsia="黑体" w:cs="黑体"/>
          <w:color w:val="9D0300"/>
          <w:sz w:val="28"/>
          <w:szCs w:val="28"/>
          <w:lang w:val="en-US" w:eastAsia="zh-CN"/>
        </w:rPr>
        <w:t xml:space="preserve"> 学校师资队伍情况 </w:t>
      </w:r>
      <w:bookmarkEnd w:id="120"/>
      <w:bookmarkEnd w:id="121"/>
    </w:p>
    <w:p>
      <w:pPr>
        <w:pStyle w:val="17"/>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bCs/>
          <w:color w:val="A20000"/>
          <w:kern w:val="2"/>
          <w:sz w:val="28"/>
          <w:szCs w:val="28"/>
          <w:lang w:val="en-US" w:eastAsia="zh-CN" w:bidi="ar-SA"/>
        </w:rPr>
        <w:t>完善教师培养体系。</w:t>
      </w:r>
      <w:r>
        <w:rPr>
          <w:rFonts w:hint="eastAsia" w:ascii="仿宋_GB2312" w:hAnsi="仿宋_GB2312" w:eastAsia="仿宋_GB2312" w:cs="仿宋_GB2312"/>
          <w:kern w:val="2"/>
          <w:sz w:val="28"/>
          <w:szCs w:val="28"/>
          <w:lang w:val="en-US" w:eastAsia="zh-CN" w:bidi="ar-SA"/>
        </w:rPr>
        <w:t>贯彻落实教育部《职业教育提质培优行动计划（2020—2023年）》、中共中央、国务院《关于全面深化新时代教师队伍建设改革的意见》和省委省政府《关于全面深化新时代全省教师队伍建设改革的实施意见》等文件精神，开展新一周期“教师素质提高计划”，落实5年一轮的教师全员培训制度，本年度安排教师参加各级各类培训达400余人次，确保使每位教师都有参加学习培训机会，促进教师综合素质的不断提升。借助校内外优势资源开展新入职教师、骨干教师、高水平学校特色化专业团队等培训，分层分类对教师进行针对性培养。根据教育部制定的职业院校“双师型”教师标准要求落实教师企业实践，本年度共有23位学校医院岗位以外的专业教师外派到医院、药企等机构参加企业实践，确保专业教师企业实践每5年累计不少于6个月，提升专业技能和实践教学能力。鼓励教师积极开展校外学术经验交流，起到了很好的示范引领作用（见表6）。学校获批齐鲁名校长、名师、名班主任“三名”工程，护理专业教学团队获批山东省职业教育教学创新团队建设项目。</w:t>
      </w:r>
    </w:p>
    <w:p>
      <w:pPr>
        <w:pStyle w:val="6"/>
        <w:jc w:val="left"/>
        <w:rPr>
          <w:rFonts w:hint="eastAsia"/>
          <w:sz w:val="28"/>
          <w:szCs w:val="28"/>
          <w:lang w:val="en-US" w:eastAsia="zh-CN"/>
        </w:rPr>
      </w:pPr>
      <w:bookmarkStart w:id="122" w:name="_Toc8854"/>
      <w:r>
        <w:rPr>
          <w:rFonts w:hint="eastAsia" w:ascii="黑体" w:hAnsi="黑体" w:eastAsia="黑体" w:cs="黑体"/>
          <w:color w:val="9D0300"/>
          <w:sz w:val="28"/>
          <w:szCs w:val="28"/>
          <w:lang w:val="en-US" w:eastAsia="zh-CN"/>
        </w:rPr>
        <w:t xml:space="preserve">表 </w:t>
      </w:r>
      <w:r>
        <w:rPr>
          <w:rFonts w:hint="eastAsia" w:ascii="黑体" w:hAnsi="黑体" w:eastAsia="黑体" w:cs="黑体"/>
          <w:color w:val="9D0300"/>
          <w:sz w:val="28"/>
          <w:szCs w:val="28"/>
          <w:lang w:val="en-US" w:eastAsia="zh-CN"/>
        </w:rPr>
        <w:fldChar w:fldCharType="begin"/>
      </w:r>
      <w:r>
        <w:rPr>
          <w:rFonts w:hint="eastAsia" w:ascii="黑体" w:hAnsi="黑体" w:eastAsia="黑体" w:cs="黑体"/>
          <w:color w:val="9D0300"/>
          <w:sz w:val="28"/>
          <w:szCs w:val="28"/>
          <w:lang w:val="en-US" w:eastAsia="zh-CN"/>
        </w:rPr>
        <w:instrText xml:space="preserve"> SEQ 表 \* ARABIC </w:instrText>
      </w:r>
      <w:r>
        <w:rPr>
          <w:rFonts w:hint="eastAsia" w:ascii="黑体" w:hAnsi="黑体" w:eastAsia="黑体" w:cs="黑体"/>
          <w:color w:val="9D0300"/>
          <w:sz w:val="28"/>
          <w:szCs w:val="28"/>
          <w:lang w:val="en-US" w:eastAsia="zh-CN"/>
        </w:rPr>
        <w:fldChar w:fldCharType="separate"/>
      </w:r>
      <w:r>
        <w:rPr>
          <w:rFonts w:hint="eastAsia" w:ascii="黑体" w:hAnsi="黑体" w:eastAsia="黑体" w:cs="黑体"/>
          <w:color w:val="9D0300"/>
          <w:sz w:val="28"/>
          <w:szCs w:val="28"/>
          <w:lang w:val="en-US" w:eastAsia="zh-CN"/>
        </w:rPr>
        <w:t>6</w:t>
      </w:r>
      <w:r>
        <w:rPr>
          <w:rFonts w:hint="eastAsia" w:ascii="黑体" w:hAnsi="黑体" w:eastAsia="黑体" w:cs="黑体"/>
          <w:color w:val="9D0300"/>
          <w:sz w:val="28"/>
          <w:szCs w:val="28"/>
          <w:lang w:val="en-US" w:eastAsia="zh-CN"/>
        </w:rPr>
        <w:fldChar w:fldCharType="end"/>
      </w:r>
      <w:bookmarkStart w:id="123" w:name="_Toc14995"/>
      <w:bookmarkStart w:id="124" w:name="_Toc22860"/>
      <w:r>
        <w:rPr>
          <w:rFonts w:hint="eastAsia" w:ascii="黑体" w:hAnsi="黑体" w:eastAsia="黑体" w:cs="黑体"/>
          <w:color w:val="9D0300"/>
          <w:sz w:val="28"/>
          <w:szCs w:val="28"/>
          <w:lang w:val="en-US" w:eastAsia="zh-CN"/>
        </w:rPr>
        <w:t xml:space="preserve"> 2022-2023学年教师参加学术经验交流等情况一览表</w:t>
      </w:r>
      <w:bookmarkEnd w:id="123"/>
      <w:bookmarkEnd w:id="124"/>
    </w:p>
    <w:bookmarkEnd w:id="122"/>
    <w:tbl>
      <w:tblPr>
        <w:tblStyle w:val="18"/>
        <w:tblW w:w="87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1274"/>
        <w:gridCol w:w="1274"/>
        <w:gridCol w:w="3556"/>
        <w:gridCol w:w="1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1" w:type="dxa"/>
            <w:noWrap/>
            <w:vAlign w:val="center"/>
          </w:tcPr>
          <w:p>
            <w:pPr>
              <w:bidi w:val="0"/>
              <w:jc w:val="center"/>
              <w:rPr>
                <w:rFonts w:hint="eastAsia" w:ascii="宋体" w:hAnsi="宋体" w:eastAsia="宋体" w:cs="宋体"/>
                <w:color w:val="000000"/>
                <w:kern w:val="0"/>
                <w:szCs w:val="21"/>
                <w:lang w:bidi="ar"/>
              </w:rPr>
            </w:pPr>
            <w:r>
              <w:rPr>
                <w:rFonts w:hint="eastAsia"/>
                <w:b/>
                <w:bCs/>
              </w:rPr>
              <w:t>序号</w:t>
            </w:r>
          </w:p>
        </w:tc>
        <w:tc>
          <w:tcPr>
            <w:tcW w:w="1209"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color w:val="000000"/>
                <w:kern w:val="0"/>
                <w:sz w:val="21"/>
                <w:szCs w:val="21"/>
                <w:lang w:bidi="ar"/>
              </w:rPr>
            </w:pPr>
            <w:r>
              <w:rPr>
                <w:rFonts w:hint="eastAsia" w:ascii="宋体" w:hAnsi="宋体" w:eastAsia="宋体" w:cs="宋体"/>
                <w:b/>
                <w:bCs/>
                <w:color w:val="000000"/>
                <w:kern w:val="0"/>
                <w:sz w:val="21"/>
                <w:szCs w:val="21"/>
                <w:lang w:bidi="ar"/>
              </w:rPr>
              <w:t>时间</w:t>
            </w:r>
          </w:p>
        </w:tc>
        <w:tc>
          <w:tcPr>
            <w:tcW w:w="1209" w:type="dxa"/>
            <w:noWrap/>
            <w:vAlign w:val="center"/>
          </w:tcPr>
          <w:p>
            <w:pPr>
              <w:keepNext w:val="0"/>
              <w:keepLines w:val="0"/>
              <w:pageBreakBefore w:val="0"/>
              <w:widowControl/>
              <w:kinsoku/>
              <w:wordWrap/>
              <w:overflowPunct/>
              <w:topLinePunct w:val="0"/>
              <w:autoSpaceDE/>
              <w:autoSpaceDN/>
              <w:bidi w:val="0"/>
              <w:adjustRightInd/>
              <w:snapToGrid/>
              <w:ind w:firstLine="0" w:firstLineChars="0"/>
              <w:textAlignment w:val="center"/>
              <w:rPr>
                <w:rFonts w:hint="eastAsia" w:ascii="宋体" w:hAnsi="宋体" w:eastAsia="宋体" w:cs="宋体"/>
                <w:b/>
                <w:bCs/>
                <w:color w:val="000000"/>
                <w:kern w:val="0"/>
                <w:sz w:val="21"/>
                <w:szCs w:val="21"/>
                <w:lang w:bidi="ar"/>
              </w:rPr>
            </w:pPr>
            <w:r>
              <w:rPr>
                <w:rFonts w:hint="eastAsia" w:ascii="宋体" w:hAnsi="宋体" w:eastAsia="宋体" w:cs="宋体"/>
                <w:b/>
                <w:bCs/>
                <w:color w:val="000000"/>
                <w:kern w:val="0"/>
                <w:sz w:val="21"/>
                <w:szCs w:val="21"/>
                <w:lang w:bidi="ar"/>
              </w:rPr>
              <w:t>参加人员</w:t>
            </w:r>
          </w:p>
        </w:tc>
        <w:tc>
          <w:tcPr>
            <w:tcW w:w="3375"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color w:val="000000"/>
                <w:kern w:val="0"/>
                <w:sz w:val="21"/>
                <w:szCs w:val="21"/>
                <w:lang w:bidi="ar"/>
              </w:rPr>
            </w:pPr>
            <w:r>
              <w:rPr>
                <w:rFonts w:hint="eastAsia" w:ascii="宋体" w:hAnsi="宋体" w:eastAsia="宋体" w:cs="宋体"/>
                <w:b/>
                <w:bCs/>
                <w:color w:val="000000"/>
                <w:kern w:val="0"/>
                <w:sz w:val="21"/>
                <w:szCs w:val="21"/>
                <w:lang w:bidi="ar"/>
              </w:rPr>
              <w:t>项目名称</w:t>
            </w:r>
          </w:p>
        </w:tc>
        <w:tc>
          <w:tcPr>
            <w:tcW w:w="1825"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b/>
                <w:bCs/>
                <w:color w:val="000000"/>
                <w:kern w:val="0"/>
                <w:sz w:val="21"/>
                <w:szCs w:val="21"/>
                <w:lang w:bidi="ar"/>
              </w:rPr>
            </w:pPr>
            <w:r>
              <w:rPr>
                <w:rFonts w:hint="eastAsia" w:ascii="宋体" w:hAnsi="宋体" w:eastAsia="宋体" w:cs="宋体"/>
                <w:b/>
                <w:bCs/>
                <w:color w:val="000000"/>
                <w:kern w:val="0"/>
                <w:sz w:val="21"/>
                <w:szCs w:val="21"/>
                <w:lang w:bidi="ar"/>
              </w:rPr>
              <w:t>主办单位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1"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1</w:t>
            </w:r>
          </w:p>
        </w:tc>
        <w:tc>
          <w:tcPr>
            <w:tcW w:w="1209"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2022.10</w:t>
            </w:r>
          </w:p>
        </w:tc>
        <w:tc>
          <w:tcPr>
            <w:tcW w:w="1209"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王凤姣</w:t>
            </w:r>
          </w:p>
        </w:tc>
        <w:tc>
          <w:tcPr>
            <w:tcW w:w="3375"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参加中国职业教育学会关于征集健康中国+智慧赋能“说专业•说课程•说课程群•说教材”案例评选，护理专业说专业被评为优秀案例并在全国职业院校范围内进行展示交流</w:t>
            </w:r>
          </w:p>
        </w:tc>
        <w:tc>
          <w:tcPr>
            <w:tcW w:w="1825"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中国职业技术教育学会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1"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2</w:t>
            </w:r>
          </w:p>
        </w:tc>
        <w:tc>
          <w:tcPr>
            <w:tcW w:w="1209"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2023.03</w:t>
            </w:r>
          </w:p>
        </w:tc>
        <w:tc>
          <w:tcPr>
            <w:tcW w:w="1209"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王凤姣</w:t>
            </w:r>
          </w:p>
        </w:tc>
        <w:tc>
          <w:tcPr>
            <w:tcW w:w="3375"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参加《2023中国职业教育质量年报》合规性检查工作</w:t>
            </w:r>
          </w:p>
        </w:tc>
        <w:tc>
          <w:tcPr>
            <w:tcW w:w="1825"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中国教育科学研究院职业教育与继续教育研究所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1"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3</w:t>
            </w:r>
          </w:p>
        </w:tc>
        <w:tc>
          <w:tcPr>
            <w:tcW w:w="1209"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2023.03</w:t>
            </w:r>
          </w:p>
        </w:tc>
        <w:tc>
          <w:tcPr>
            <w:tcW w:w="1209"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石少婷</w:t>
            </w:r>
          </w:p>
        </w:tc>
        <w:tc>
          <w:tcPr>
            <w:tcW w:w="3375"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参加2022 年度中职护理类课程实施能力提升国培项目做《健康中国背景下护生人文关怀能力的培养》报告</w:t>
            </w:r>
          </w:p>
        </w:tc>
        <w:tc>
          <w:tcPr>
            <w:tcW w:w="1825"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教育部教师工作司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1"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4</w:t>
            </w:r>
          </w:p>
        </w:tc>
        <w:tc>
          <w:tcPr>
            <w:tcW w:w="1209"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2023.04</w:t>
            </w:r>
          </w:p>
        </w:tc>
        <w:tc>
          <w:tcPr>
            <w:tcW w:w="1209"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石少婷</w:t>
            </w:r>
          </w:p>
        </w:tc>
        <w:tc>
          <w:tcPr>
            <w:tcW w:w="3375"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参加全国中等卫生职业教育改革发展与课程教材体系建设会议做《中高衔接一体化育人的山东实践》主题报告</w:t>
            </w:r>
          </w:p>
        </w:tc>
        <w:tc>
          <w:tcPr>
            <w:tcW w:w="1825"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人民卫生出版社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1"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5</w:t>
            </w:r>
          </w:p>
        </w:tc>
        <w:tc>
          <w:tcPr>
            <w:tcW w:w="1209"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2023.08</w:t>
            </w:r>
          </w:p>
        </w:tc>
        <w:tc>
          <w:tcPr>
            <w:tcW w:w="1209"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王凤姣</w:t>
            </w:r>
          </w:p>
        </w:tc>
        <w:tc>
          <w:tcPr>
            <w:tcW w:w="3375"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参加山东省教育科学研究院组织的学术交流进行《健康与生活——基于新生入学查体情况的思考》主题讲座</w:t>
            </w:r>
          </w:p>
        </w:tc>
        <w:tc>
          <w:tcPr>
            <w:tcW w:w="1825"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山东省教育科学研究院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21"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6</w:t>
            </w:r>
          </w:p>
        </w:tc>
        <w:tc>
          <w:tcPr>
            <w:tcW w:w="1209"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2023.08</w:t>
            </w:r>
          </w:p>
        </w:tc>
        <w:tc>
          <w:tcPr>
            <w:tcW w:w="1209"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王凤姣</w:t>
            </w:r>
          </w:p>
        </w:tc>
        <w:tc>
          <w:tcPr>
            <w:tcW w:w="3375"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参加山东省教育科学研究院组织的“送教”活动，进行公开课《健康生活，快乐成长》展示</w:t>
            </w:r>
          </w:p>
        </w:tc>
        <w:tc>
          <w:tcPr>
            <w:tcW w:w="1825" w:type="dxa"/>
            <w:noWrap/>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山东省教育科学研究院</w:t>
            </w:r>
          </w:p>
        </w:tc>
      </w:tr>
    </w:tbl>
    <w:p>
      <w:pPr>
        <w:rPr>
          <w:rFonts w:hint="eastAsia" w:ascii="宋体" w:hAnsi="宋体" w:eastAsia="宋体" w:cs="宋体"/>
          <w:b/>
          <w:bCs/>
          <w:sz w:val="32"/>
          <w:szCs w:val="32"/>
          <w:lang w:bidi="ar"/>
        </w:rPr>
      </w:pPr>
      <w:r>
        <w:rPr>
          <w:rFonts w:hint="eastAsia" w:ascii="宋体" w:hAnsi="宋体" w:eastAsia="宋体" w:cs="宋体"/>
          <w:lang w:val="en-US" w:eastAsia="zh-CN"/>
        </w:rPr>
        <w:t>数据来源：山东省莱阳卫生学校教务处</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color w:val="A20000"/>
          <w:sz w:val="28"/>
          <w:szCs w:val="28"/>
          <w:lang w:val="en-US" w:eastAsia="zh-CN"/>
        </w:rPr>
        <w:t>加强教师专业化培训。</w:t>
      </w:r>
      <w:r>
        <w:rPr>
          <w:rFonts w:hint="eastAsia" w:ascii="仿宋_GB2312" w:hAnsi="仿宋_GB2312" w:eastAsia="仿宋_GB2312" w:cs="仿宋_GB2312"/>
          <w:sz w:val="28"/>
          <w:szCs w:val="28"/>
        </w:rPr>
        <w:t>实施教育教学能力、教科研能力、专业实践能力、信息技术应用能力、社会服务能力五种能力培养体系，打造高水平、结构化教师创新团队。选派1名优秀青年教师参加山东省教育厅组织开展的2023年度职业院校教师访学研修；组织骨干教师和青年教师64人到山东理工大学参加为期5天的教师教学综合能力提升培训班；组织16名教师到山东药品食品职业学院参加为期5天的药学类专业教师综合职业能力提升研修班。</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eastAsia="仿宋_GB2312"/>
          <w:lang w:val="en-US" w:eastAsia="zh-CN"/>
        </w:rPr>
      </w:pPr>
      <w:r>
        <w:rPr>
          <w:rFonts w:hint="eastAsia" w:ascii="仿宋_GB2312" w:hAnsi="仿宋_GB2312" w:eastAsia="仿宋_GB2312" w:cs="仿宋_GB2312"/>
          <w:b/>
          <w:bCs/>
          <w:color w:val="A20000"/>
          <w:sz w:val="28"/>
          <w:szCs w:val="28"/>
          <w:lang w:val="en-US" w:eastAsia="zh-CN"/>
        </w:rPr>
        <w:t>加强教研科研能力。</w:t>
      </w:r>
      <w:r>
        <w:rPr>
          <w:rFonts w:hint="eastAsia" w:ascii="仿宋_GB2312" w:hAnsi="仿宋_GB2312" w:eastAsia="仿宋_GB2312" w:cs="仿宋_GB2312"/>
          <w:sz w:val="28"/>
          <w:szCs w:val="28"/>
        </w:rPr>
        <w:t>坚持以科研为引领，以项目建设为抓手，组建专业化，结构化教学创新团队，通过优化师资队伍、加大培训力度、全员教学比赛、课程资源建设、企业实践锻炼、科研课题项目等途径，提升教师队伍整体素质。本年度获得科研项目立项 6项，其中省级2项、市级4项。结项课题10项，其中省级5项、市级5项。其余在研课15项，其中省级6项、市级13项。本年度荣获2022年国家级教学成果二等奖2项。教科研方面业绩较往年有显著突破。</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见表7</w:t>
      </w:r>
      <w:r>
        <w:rPr>
          <w:rFonts w:hint="eastAsia" w:ascii="仿宋_GB2312" w:hAnsi="仿宋_GB2312" w:eastAsia="仿宋_GB2312" w:cs="仿宋_GB2312"/>
          <w:sz w:val="28"/>
          <w:szCs w:val="28"/>
          <w:lang w:eastAsia="zh-CN"/>
        </w:rPr>
        <w:t>）</w:t>
      </w:r>
    </w:p>
    <w:p>
      <w:pPr>
        <w:rPr>
          <w:rFonts w:hint="eastAsia"/>
          <w:lang w:val="en-US" w:eastAsia="zh-CN"/>
        </w:rPr>
      </w:pPr>
    </w:p>
    <w:p>
      <w:pPr>
        <w:pStyle w:val="6"/>
        <w:jc w:val="left"/>
        <w:rPr>
          <w:rFonts w:hint="eastAsia"/>
          <w:sz w:val="28"/>
          <w:szCs w:val="28"/>
          <w:lang w:val="en-US" w:eastAsia="zh-CN"/>
        </w:rPr>
      </w:pPr>
      <w:bookmarkStart w:id="125" w:name="_Toc30104"/>
      <w:r>
        <w:rPr>
          <w:rFonts w:hint="eastAsia" w:ascii="黑体" w:hAnsi="黑体" w:eastAsia="黑体" w:cs="黑体"/>
          <w:color w:val="9D0300"/>
          <w:sz w:val="28"/>
          <w:szCs w:val="28"/>
          <w:lang w:val="en-US" w:eastAsia="zh-CN"/>
        </w:rPr>
        <w:t xml:space="preserve">表 </w:t>
      </w:r>
      <w:r>
        <w:rPr>
          <w:rFonts w:hint="eastAsia" w:ascii="黑体" w:hAnsi="黑体" w:eastAsia="黑体" w:cs="黑体"/>
          <w:color w:val="9D0300"/>
          <w:sz w:val="28"/>
          <w:szCs w:val="28"/>
          <w:lang w:val="en-US" w:eastAsia="zh-CN"/>
        </w:rPr>
        <w:fldChar w:fldCharType="begin"/>
      </w:r>
      <w:r>
        <w:rPr>
          <w:rFonts w:hint="eastAsia" w:ascii="黑体" w:hAnsi="黑体" w:eastAsia="黑体" w:cs="黑体"/>
          <w:color w:val="9D0300"/>
          <w:sz w:val="28"/>
          <w:szCs w:val="28"/>
          <w:lang w:val="en-US" w:eastAsia="zh-CN"/>
        </w:rPr>
        <w:instrText xml:space="preserve"> SEQ 表 \* ARABIC </w:instrText>
      </w:r>
      <w:r>
        <w:rPr>
          <w:rFonts w:hint="eastAsia" w:ascii="黑体" w:hAnsi="黑体" w:eastAsia="黑体" w:cs="黑体"/>
          <w:color w:val="9D0300"/>
          <w:sz w:val="28"/>
          <w:szCs w:val="28"/>
          <w:lang w:val="en-US" w:eastAsia="zh-CN"/>
        </w:rPr>
        <w:fldChar w:fldCharType="separate"/>
      </w:r>
      <w:r>
        <w:rPr>
          <w:rFonts w:hint="eastAsia" w:ascii="黑体" w:hAnsi="黑体" w:eastAsia="黑体" w:cs="黑体"/>
          <w:color w:val="9D0300"/>
          <w:sz w:val="28"/>
          <w:szCs w:val="28"/>
          <w:lang w:val="en-US" w:eastAsia="zh-CN"/>
        </w:rPr>
        <w:t>7</w:t>
      </w:r>
      <w:r>
        <w:rPr>
          <w:rFonts w:hint="eastAsia" w:ascii="黑体" w:hAnsi="黑体" w:eastAsia="黑体" w:cs="黑体"/>
          <w:color w:val="9D0300"/>
          <w:sz w:val="28"/>
          <w:szCs w:val="28"/>
          <w:lang w:val="en-US" w:eastAsia="zh-CN"/>
        </w:rPr>
        <w:fldChar w:fldCharType="end"/>
      </w:r>
      <w:bookmarkStart w:id="126" w:name="_Toc26534"/>
      <w:bookmarkStart w:id="127" w:name="_Toc19482"/>
      <w:r>
        <w:rPr>
          <w:rFonts w:hint="eastAsia" w:ascii="黑体" w:hAnsi="黑体" w:eastAsia="黑体" w:cs="黑体"/>
          <w:color w:val="9D0300"/>
          <w:sz w:val="28"/>
          <w:szCs w:val="28"/>
          <w:lang w:val="en-US" w:eastAsia="zh-CN"/>
        </w:rPr>
        <w:t xml:space="preserve"> 2022-2023学年教科研情况一览表</w:t>
      </w:r>
      <w:bookmarkEnd w:id="126"/>
      <w:bookmarkEnd w:id="127"/>
    </w:p>
    <w:bookmarkEnd w:id="125"/>
    <w:tbl>
      <w:tblPr>
        <w:tblStyle w:val="18"/>
        <w:tblW w:w="8795" w:type="dxa"/>
        <w:jc w:val="center"/>
        <w:tblLayout w:type="fixed"/>
        <w:tblCellMar>
          <w:top w:w="85" w:type="dxa"/>
          <w:left w:w="108" w:type="dxa"/>
          <w:bottom w:w="85" w:type="dxa"/>
          <w:right w:w="108" w:type="dxa"/>
        </w:tblCellMar>
      </w:tblPr>
      <w:tblGrid>
        <w:gridCol w:w="467"/>
        <w:gridCol w:w="917"/>
        <w:gridCol w:w="930"/>
        <w:gridCol w:w="2956"/>
        <w:gridCol w:w="2375"/>
        <w:gridCol w:w="1150"/>
      </w:tblGrid>
      <w:tr>
        <w:tblPrEx>
          <w:tblCellMar>
            <w:top w:w="85" w:type="dxa"/>
            <w:left w:w="108" w:type="dxa"/>
            <w:bottom w:w="85" w:type="dxa"/>
            <w:right w:w="108" w:type="dxa"/>
          </w:tblCellMar>
        </w:tblPrEx>
        <w:trPr>
          <w:trHeight w:val="397" w:hRule="atLeast"/>
          <w:jc w:val="center"/>
        </w:trPr>
        <w:tc>
          <w:tcPr>
            <w:tcW w:w="8795" w:type="dxa"/>
            <w:gridSpan w:val="6"/>
            <w:tcBorders>
              <w:top w:val="single" w:color="000000" w:sz="4" w:space="0"/>
              <w:left w:val="single" w:color="000000" w:sz="4" w:space="0"/>
              <w:bottom w:val="single" w:color="000000" w:sz="4" w:space="0"/>
              <w:right w:val="single" w:color="000000" w:sz="4" w:space="0"/>
            </w:tcBorders>
            <w:noWrap/>
            <w:vAlign w:val="center"/>
          </w:tcPr>
          <w:p>
            <w:pPr>
              <w:bidi w:val="0"/>
              <w:jc w:val="center"/>
              <w:rPr>
                <w:rFonts w:hint="eastAsia" w:ascii="宋体" w:hAnsi="宋体" w:eastAsia="宋体" w:cs="宋体"/>
                <w:b/>
                <w:bCs/>
                <w:color w:val="000000"/>
                <w:sz w:val="21"/>
                <w:szCs w:val="21"/>
              </w:rPr>
            </w:pPr>
            <w:r>
              <w:rPr>
                <w:rFonts w:hint="eastAsia" w:ascii="宋体" w:hAnsi="宋体" w:eastAsia="宋体" w:cs="宋体"/>
                <w:b/>
                <w:bCs/>
                <w:sz w:val="21"/>
                <w:szCs w:val="21"/>
              </w:rPr>
              <w:t>立</w:t>
            </w:r>
            <w:r>
              <w:rPr>
                <w:rFonts w:hint="eastAsia" w:ascii="宋体" w:hAnsi="宋体" w:eastAsia="宋体" w:cs="宋体"/>
                <w:b/>
                <w:bCs/>
                <w:sz w:val="21"/>
                <w:szCs w:val="21"/>
                <w:lang w:val="en-US" w:eastAsia="zh-CN"/>
              </w:rPr>
              <w:t xml:space="preserve"> </w:t>
            </w:r>
            <w:r>
              <w:rPr>
                <w:rFonts w:hint="eastAsia" w:ascii="宋体" w:hAnsi="宋体" w:eastAsia="宋体" w:cs="宋体"/>
                <w:b/>
                <w:bCs/>
                <w:sz w:val="21"/>
                <w:szCs w:val="21"/>
              </w:rPr>
              <w:t>项</w:t>
            </w:r>
            <w:r>
              <w:rPr>
                <w:rFonts w:hint="eastAsia" w:ascii="宋体" w:hAnsi="宋体" w:eastAsia="宋体" w:cs="宋体"/>
                <w:b/>
                <w:bCs/>
                <w:sz w:val="21"/>
                <w:szCs w:val="21"/>
                <w:lang w:val="en-US" w:eastAsia="zh-CN"/>
              </w:rPr>
              <w:t xml:space="preserve"> </w:t>
            </w:r>
            <w:r>
              <w:rPr>
                <w:rFonts w:hint="eastAsia" w:ascii="宋体" w:hAnsi="宋体" w:eastAsia="宋体" w:cs="宋体"/>
                <w:b/>
                <w:bCs/>
                <w:sz w:val="21"/>
                <w:szCs w:val="21"/>
              </w:rPr>
              <w:t>课</w:t>
            </w:r>
            <w:r>
              <w:rPr>
                <w:rFonts w:hint="eastAsia" w:ascii="宋体" w:hAnsi="宋体" w:eastAsia="宋体" w:cs="宋体"/>
                <w:b/>
                <w:bCs/>
                <w:sz w:val="21"/>
                <w:szCs w:val="21"/>
                <w:lang w:val="en-US" w:eastAsia="zh-CN"/>
              </w:rPr>
              <w:t xml:space="preserve"> </w:t>
            </w:r>
            <w:r>
              <w:rPr>
                <w:rFonts w:hint="eastAsia" w:ascii="宋体" w:hAnsi="宋体" w:eastAsia="宋体" w:cs="宋体"/>
                <w:b/>
                <w:bCs/>
                <w:sz w:val="21"/>
                <w:szCs w:val="21"/>
              </w:rPr>
              <w:t>题</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序号</w:t>
            </w:r>
          </w:p>
        </w:tc>
        <w:tc>
          <w:tcPr>
            <w:tcW w:w="9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主持人</w:t>
            </w:r>
          </w:p>
        </w:tc>
        <w:tc>
          <w:tcPr>
            <w:tcW w:w="3886"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名称</w:t>
            </w:r>
          </w:p>
        </w:tc>
        <w:tc>
          <w:tcPr>
            <w:tcW w:w="23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来源</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立项时间</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c>
          <w:tcPr>
            <w:tcW w:w="9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王凤姣</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中职青年教师“3+X+N”校本培训体系的研究与实践</w:t>
            </w:r>
          </w:p>
        </w:tc>
        <w:tc>
          <w:tcPr>
            <w:tcW w:w="23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山东省教育厅</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2022.12</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c>
          <w:tcPr>
            <w:tcW w:w="9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邢世波</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基于岗位胜任力的中职护生专业实践能力评价体系的构建实施</w:t>
            </w:r>
          </w:p>
        </w:tc>
        <w:tc>
          <w:tcPr>
            <w:tcW w:w="23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山东省教育厅</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2022.12</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9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孙振龙</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《虚拟现实技术联合标准化病人在中职护理》综合实训中的应用研究</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山东省职业院校“三教”改革联盟</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2023.08</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9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李顺见</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新时代背景下基于新课程标准“一线两翼”中职思政课教学资源建设研究</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山东省职业院校“三教”改革联盟</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2023.08</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5</w:t>
            </w:r>
          </w:p>
        </w:tc>
        <w:tc>
          <w:tcPr>
            <w:tcW w:w="9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于辰龙</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中职内科护理课程“三点融入、多元主体融合”的活页式教材开发路径研究</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山东省职业院校“三教”改革联盟</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2023.08</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6</w:t>
            </w:r>
          </w:p>
        </w:tc>
        <w:tc>
          <w:tcPr>
            <w:tcW w:w="9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董广云</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基于“虚拟工作室”的中职班主任能力建设研究与实践</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山东省职业院校“三教”改革联盟</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2023.08</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7</w:t>
            </w:r>
          </w:p>
        </w:tc>
        <w:tc>
          <w:tcPr>
            <w:tcW w:w="9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李顺见</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新时代背景下基于新课程标准的中职思政课教学设计研究</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烟台市职业教育研究室</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2023.01</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8</w:t>
            </w:r>
          </w:p>
        </w:tc>
        <w:tc>
          <w:tcPr>
            <w:tcW w:w="9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刘东波</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卫生类中职学校教师实践能力提升策略研究</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烟台市职业教育研究室</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2023.01</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9</w:t>
            </w:r>
          </w:p>
        </w:tc>
        <w:tc>
          <w:tcPr>
            <w:tcW w:w="9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张柱海</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教学能力比赛驱动下的课程教学研究与实践--以《药店零售与服务技术》为例</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烟台市职业教育研究室</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2023.01</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9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董文</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学生主体、层级管理、文化引领、星级评价：中职学校班级自主管理模式的研究与实践</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烟台市职业教育研究室</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2023.01</w:t>
            </w:r>
          </w:p>
        </w:tc>
      </w:tr>
      <w:tr>
        <w:tblPrEx>
          <w:tblCellMar>
            <w:top w:w="85" w:type="dxa"/>
            <w:left w:w="108" w:type="dxa"/>
            <w:bottom w:w="85" w:type="dxa"/>
            <w:right w:w="108" w:type="dxa"/>
          </w:tblCellMar>
        </w:tblPrEx>
        <w:trPr>
          <w:trHeight w:val="397" w:hRule="atLeast"/>
          <w:jc w:val="center"/>
        </w:trPr>
        <w:tc>
          <w:tcPr>
            <w:tcW w:w="8795"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b/>
                <w:bCs/>
                <w:color w:val="000000"/>
                <w:sz w:val="21"/>
                <w:szCs w:val="21"/>
              </w:rPr>
              <w:t>结项课题</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序号</w:t>
            </w:r>
          </w:p>
        </w:tc>
        <w:tc>
          <w:tcPr>
            <w:tcW w:w="9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主持人</w:t>
            </w:r>
          </w:p>
        </w:tc>
        <w:tc>
          <w:tcPr>
            <w:tcW w:w="3886"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名称</w:t>
            </w:r>
          </w:p>
        </w:tc>
        <w:tc>
          <w:tcPr>
            <w:tcW w:w="23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来源</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b/>
                <w:bCs/>
                <w:color w:val="000000"/>
                <w:kern w:val="0"/>
                <w:sz w:val="21"/>
                <w:szCs w:val="21"/>
                <w:lang w:bidi="ar"/>
              </w:rPr>
            </w:pPr>
            <w:r>
              <w:rPr>
                <w:rFonts w:hint="eastAsia" w:ascii="宋体" w:hAnsi="宋体" w:eastAsia="宋体" w:cs="宋体"/>
                <w:b/>
                <w:bCs/>
                <w:color w:val="000000"/>
                <w:kern w:val="0"/>
                <w:sz w:val="21"/>
                <w:szCs w:val="21"/>
                <w:lang w:bidi="ar"/>
              </w:rPr>
              <w:t>结项</w:t>
            </w:r>
          </w:p>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时间</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c>
          <w:tcPr>
            <w:tcW w:w="9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石少婷</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中等职业院校专业核心课程混合式教学多元化评价体系构建与实施</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山东省教育厅</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2023.08</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c>
          <w:tcPr>
            <w:tcW w:w="9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李启立</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中职护理专业课与母婴护理证书课证融合的“一核六元、思政贯通”人才培养模式探索与实践</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山东省教育厅</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2023.08</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9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王凤姣</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中职教师培训体系的研究与实践</w:t>
            </w:r>
          </w:p>
        </w:tc>
        <w:tc>
          <w:tcPr>
            <w:tcW w:w="23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山东省教育科学研究院</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2023.08</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9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邢世波</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基于岗位胜任力的中职基础护理实践能力评价指标体系的构建与实施</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山东省职业院校“三教”改革联盟</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2023.01</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5</w:t>
            </w:r>
          </w:p>
        </w:tc>
        <w:tc>
          <w:tcPr>
            <w:tcW w:w="9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张柱海</w:t>
            </w:r>
          </w:p>
        </w:tc>
        <w:tc>
          <w:tcPr>
            <w:tcW w:w="3886"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现代学徒制背景下《药店药学服务》教学模式的探索与应用研究</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山东省职业院校“三教”改革联盟</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2023.01</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6</w:t>
            </w:r>
          </w:p>
        </w:tc>
        <w:tc>
          <w:tcPr>
            <w:tcW w:w="9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周燕</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基于无纸化考试系统的护理专业模块化题库资源建设与应用研究</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烟台市职业教育研究室</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2023.01</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7</w:t>
            </w:r>
          </w:p>
        </w:tc>
        <w:tc>
          <w:tcPr>
            <w:tcW w:w="9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崔艳丽</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三二连读高职医学检验技术专业中高职专业课程一体化构建的研究</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烟台市职业教育研究室</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2023.01</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8</w:t>
            </w:r>
          </w:p>
        </w:tc>
        <w:tc>
          <w:tcPr>
            <w:tcW w:w="9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宫淑秋</w:t>
            </w:r>
          </w:p>
        </w:tc>
        <w:tc>
          <w:tcPr>
            <w:tcW w:w="3886"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基于现代学徒制的药剂专业“四四制”课程体系的构建与实践</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烟台市职业教育研究室</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2023.01</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9</w:t>
            </w:r>
          </w:p>
        </w:tc>
        <w:tc>
          <w:tcPr>
            <w:tcW w:w="9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王顺庆</w:t>
            </w:r>
          </w:p>
        </w:tc>
        <w:tc>
          <w:tcPr>
            <w:tcW w:w="3886"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基于现代学徒制的中职药剂专业师资队伍建设模式研究</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烟台市职业教育研究室</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2023.01</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10</w:t>
            </w:r>
          </w:p>
        </w:tc>
        <w:tc>
          <w:tcPr>
            <w:tcW w:w="9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董广云</w:t>
            </w:r>
          </w:p>
        </w:tc>
        <w:tc>
          <w:tcPr>
            <w:tcW w:w="3886"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系统实施教育科技人才三大战略 共同塑造烟台发展新动能新优势</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烟台市社会科学联合会</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2023.03</w:t>
            </w:r>
          </w:p>
        </w:tc>
      </w:tr>
      <w:tr>
        <w:tblPrEx>
          <w:tblCellMar>
            <w:top w:w="85" w:type="dxa"/>
            <w:left w:w="108" w:type="dxa"/>
            <w:bottom w:w="85" w:type="dxa"/>
            <w:right w:w="108" w:type="dxa"/>
          </w:tblCellMar>
        </w:tblPrEx>
        <w:trPr>
          <w:trHeight w:val="397" w:hRule="atLeast"/>
          <w:jc w:val="center"/>
        </w:trPr>
        <w:tc>
          <w:tcPr>
            <w:tcW w:w="8795"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b/>
                <w:bCs/>
                <w:color w:val="000000"/>
                <w:sz w:val="21"/>
                <w:szCs w:val="21"/>
              </w:rPr>
              <w:t>在研课题</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序号</w:t>
            </w:r>
          </w:p>
        </w:tc>
        <w:tc>
          <w:tcPr>
            <w:tcW w:w="9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主持人</w:t>
            </w:r>
          </w:p>
        </w:tc>
        <w:tc>
          <w:tcPr>
            <w:tcW w:w="3886"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名称</w:t>
            </w:r>
          </w:p>
        </w:tc>
        <w:tc>
          <w:tcPr>
            <w:tcW w:w="23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来源</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b/>
                <w:bCs/>
                <w:color w:val="000000"/>
                <w:kern w:val="0"/>
                <w:sz w:val="21"/>
                <w:szCs w:val="21"/>
                <w:lang w:bidi="ar"/>
              </w:rPr>
            </w:pPr>
            <w:r>
              <w:rPr>
                <w:rFonts w:hint="eastAsia" w:ascii="宋体" w:hAnsi="宋体" w:eastAsia="宋体" w:cs="宋体"/>
                <w:b/>
                <w:bCs/>
                <w:color w:val="000000"/>
                <w:kern w:val="0"/>
                <w:sz w:val="21"/>
                <w:szCs w:val="21"/>
                <w:lang w:bidi="ar"/>
              </w:rPr>
              <w:t>立项</w:t>
            </w:r>
          </w:p>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b/>
                <w:bCs/>
                <w:color w:val="000000"/>
                <w:sz w:val="21"/>
                <w:szCs w:val="21"/>
              </w:rPr>
            </w:pPr>
            <w:r>
              <w:rPr>
                <w:rFonts w:hint="eastAsia" w:ascii="宋体" w:hAnsi="宋体" w:eastAsia="宋体" w:cs="宋体"/>
                <w:b/>
                <w:bCs/>
                <w:color w:val="000000"/>
                <w:kern w:val="0"/>
                <w:sz w:val="21"/>
                <w:szCs w:val="21"/>
                <w:lang w:bidi="ar"/>
              </w:rPr>
              <w:t>时间</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w:t>
            </w:r>
          </w:p>
        </w:tc>
        <w:tc>
          <w:tcPr>
            <w:tcW w:w="9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王心</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基于课岗融通的现代学徒制课程开发与应用研究——以药剂专业《药店药学服务》为例</w:t>
            </w:r>
          </w:p>
        </w:tc>
        <w:tc>
          <w:tcPr>
            <w:tcW w:w="23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山东省教育科学研究院</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2020.12</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w:t>
            </w:r>
          </w:p>
        </w:tc>
        <w:tc>
          <w:tcPr>
            <w:tcW w:w="9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李启立</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基于SPOC的X证书课程中“三环五育一融合”教学模式的构建与实施</w:t>
            </w:r>
          </w:p>
        </w:tc>
        <w:tc>
          <w:tcPr>
            <w:tcW w:w="23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山东省教育科学研究院</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2021.09</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3</w:t>
            </w:r>
          </w:p>
        </w:tc>
        <w:tc>
          <w:tcPr>
            <w:tcW w:w="9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曲文文</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中职生高尿酸血症调查及其与铁代谢的关系研究——以山东省莱阳卫生学校为例</w:t>
            </w:r>
          </w:p>
        </w:tc>
        <w:tc>
          <w:tcPr>
            <w:tcW w:w="23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烟台市科技局</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2020.09</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4</w:t>
            </w:r>
          </w:p>
        </w:tc>
        <w:tc>
          <w:tcPr>
            <w:tcW w:w="91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李启立</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医学职业体验对小学生及其家庭一级预防保健的研究</w:t>
            </w:r>
          </w:p>
        </w:tc>
        <w:tc>
          <w:tcPr>
            <w:tcW w:w="237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烟台市科技局</w:t>
            </w:r>
          </w:p>
        </w:tc>
        <w:tc>
          <w:tcPr>
            <w:tcW w:w="11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2021.01</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5</w:t>
            </w:r>
          </w:p>
        </w:tc>
        <w:tc>
          <w:tcPr>
            <w:tcW w:w="9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石少婷</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中职药剂专业“三结合四主题六融入”课程思政模式的构建与实施</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烟台市职业教育研究室</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2022.02</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6</w:t>
            </w:r>
          </w:p>
        </w:tc>
        <w:tc>
          <w:tcPr>
            <w:tcW w:w="9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田仁礼</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基于医学特色的中职学校课程思政教学改革研究与实践</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烟台市职业教育研究室</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2022.02</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7</w:t>
            </w:r>
          </w:p>
        </w:tc>
        <w:tc>
          <w:tcPr>
            <w:tcW w:w="9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宫淑秋</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 xml:space="preserve">中职药剂专业基于药店零售行业岗位需求的中药技能提升策略研究   </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烟台市职业教育研究室</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2022.02</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8</w:t>
            </w:r>
          </w:p>
        </w:tc>
        <w:tc>
          <w:tcPr>
            <w:tcW w:w="9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姜拥群</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中职英语德育“生活化”的实践与探索</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烟台市职业教育研究室</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2022.02</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9</w:t>
            </w:r>
          </w:p>
        </w:tc>
        <w:tc>
          <w:tcPr>
            <w:tcW w:w="9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胡秀英</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中职语文教学课程思政的实施路径研究</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烟台市职业教育研究室</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2022.02</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w:t>
            </w:r>
          </w:p>
        </w:tc>
        <w:tc>
          <w:tcPr>
            <w:tcW w:w="9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李启立</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对分课堂模式下，Jigsaw教学法在中职儿科护理中的创新与应用</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烟台市职业教育研究室</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2022.02</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11</w:t>
            </w:r>
          </w:p>
        </w:tc>
        <w:tc>
          <w:tcPr>
            <w:tcW w:w="9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曲永松</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中职医技类专业学生学习动机问题与对策研究</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烟台市职业教育研究室</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2022.02</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12</w:t>
            </w:r>
          </w:p>
        </w:tc>
        <w:tc>
          <w:tcPr>
            <w:tcW w:w="9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韩春园</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“成果导向”教学模式在中职思政课的创新应用</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烟台市职业教育研究室</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2022.02</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13</w:t>
            </w:r>
          </w:p>
        </w:tc>
        <w:tc>
          <w:tcPr>
            <w:tcW w:w="9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邢世波</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《生理学》课程思政案例资源的建设研究</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烟台市职业教育研究室</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2022.02</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14</w:t>
            </w:r>
          </w:p>
        </w:tc>
        <w:tc>
          <w:tcPr>
            <w:tcW w:w="9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郭辉</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PBL教学法在中职思政课程多样化中的设计与运用——以《中国特色社会主义》为例</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烟台市职业教育研究室</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2022.02</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15</w:t>
            </w:r>
          </w:p>
        </w:tc>
        <w:tc>
          <w:tcPr>
            <w:tcW w:w="91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邱敏</w:t>
            </w:r>
          </w:p>
        </w:tc>
        <w:tc>
          <w:tcPr>
            <w:tcW w:w="388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基于核心素养导向的《哲学与人生》课程资源开发研究与实践</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烟台市职业教育研究室</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2022.02</w:t>
            </w:r>
          </w:p>
        </w:tc>
      </w:tr>
      <w:tr>
        <w:tblPrEx>
          <w:tblCellMar>
            <w:top w:w="85" w:type="dxa"/>
            <w:left w:w="108" w:type="dxa"/>
            <w:bottom w:w="85" w:type="dxa"/>
            <w:right w:w="108" w:type="dxa"/>
          </w:tblCellMar>
        </w:tblPrEx>
        <w:trPr>
          <w:trHeight w:val="397" w:hRule="atLeast"/>
          <w:jc w:val="center"/>
        </w:trPr>
        <w:tc>
          <w:tcPr>
            <w:tcW w:w="8795" w:type="dxa"/>
            <w:gridSpan w:val="6"/>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b/>
                <w:bCs/>
                <w:color w:val="000000"/>
                <w:sz w:val="21"/>
                <w:szCs w:val="21"/>
              </w:rPr>
              <w:t>教学成果奖</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b/>
                <w:bCs/>
                <w:color w:val="000000"/>
                <w:kern w:val="0"/>
                <w:sz w:val="21"/>
                <w:szCs w:val="21"/>
                <w:lang w:bidi="ar"/>
              </w:rPr>
              <w:t>序号</w:t>
            </w:r>
          </w:p>
        </w:tc>
        <w:tc>
          <w:tcPr>
            <w:tcW w:w="184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b/>
                <w:bCs/>
                <w:color w:val="000000"/>
                <w:kern w:val="0"/>
                <w:sz w:val="21"/>
                <w:szCs w:val="21"/>
                <w:lang w:bidi="ar"/>
              </w:rPr>
            </w:pPr>
            <w:r>
              <w:rPr>
                <w:rFonts w:hint="eastAsia" w:ascii="宋体" w:hAnsi="宋体" w:eastAsia="宋体" w:cs="宋体"/>
                <w:b/>
                <w:bCs/>
                <w:color w:val="000000"/>
                <w:kern w:val="0"/>
                <w:sz w:val="21"/>
                <w:szCs w:val="21"/>
                <w:lang w:bidi="ar"/>
              </w:rPr>
              <w:t>成果名称</w:t>
            </w:r>
          </w:p>
        </w:tc>
        <w:tc>
          <w:tcPr>
            <w:tcW w:w="295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b/>
                <w:bCs/>
                <w:color w:val="000000"/>
                <w:kern w:val="0"/>
                <w:sz w:val="21"/>
                <w:szCs w:val="21"/>
                <w:lang w:bidi="ar"/>
              </w:rPr>
            </w:pPr>
            <w:r>
              <w:rPr>
                <w:rFonts w:hint="eastAsia" w:ascii="宋体" w:hAnsi="宋体" w:eastAsia="宋体" w:cs="宋体"/>
                <w:b/>
                <w:bCs/>
                <w:color w:val="000000"/>
                <w:kern w:val="0"/>
                <w:sz w:val="21"/>
                <w:szCs w:val="21"/>
                <w:lang w:bidi="ar"/>
              </w:rPr>
              <w:t>完成人</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b/>
                <w:bCs/>
                <w:color w:val="000000"/>
                <w:kern w:val="0"/>
                <w:sz w:val="21"/>
                <w:szCs w:val="21"/>
                <w:lang w:bidi="ar"/>
              </w:rPr>
            </w:pPr>
            <w:r>
              <w:rPr>
                <w:rFonts w:hint="eastAsia" w:ascii="宋体" w:hAnsi="宋体" w:eastAsia="宋体" w:cs="宋体"/>
                <w:b/>
                <w:bCs/>
                <w:color w:val="000000"/>
                <w:kern w:val="0"/>
                <w:sz w:val="21"/>
                <w:szCs w:val="21"/>
                <w:lang w:bidi="ar"/>
              </w:rPr>
              <w:t>完成单位</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b/>
                <w:bCs/>
                <w:color w:val="000000"/>
                <w:kern w:val="0"/>
                <w:sz w:val="21"/>
                <w:szCs w:val="21"/>
                <w:lang w:bidi="ar"/>
              </w:rPr>
            </w:pPr>
            <w:r>
              <w:rPr>
                <w:rFonts w:hint="eastAsia" w:ascii="宋体" w:hAnsi="宋体" w:eastAsia="宋体" w:cs="宋体"/>
                <w:b/>
                <w:bCs/>
                <w:color w:val="000000"/>
                <w:kern w:val="0"/>
                <w:sz w:val="21"/>
                <w:szCs w:val="21"/>
                <w:lang w:bidi="ar"/>
              </w:rPr>
              <w:t>公布时间</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1</w:t>
            </w:r>
          </w:p>
        </w:tc>
        <w:tc>
          <w:tcPr>
            <w:tcW w:w="184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国家级教学成果二等奖：标准融入 岗课融通 医教融合：中职护理专业实践教学体系的创新与实践</w:t>
            </w:r>
          </w:p>
        </w:tc>
        <w:tc>
          <w:tcPr>
            <w:tcW w:w="295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themeColor="text1"/>
                <w:kern w:val="0"/>
                <w:sz w:val="21"/>
                <w:szCs w:val="21"/>
                <w:lang w:bidi="ar"/>
                <w14:textFill>
                  <w14:solidFill>
                    <w14:schemeClr w14:val="tx1"/>
                  </w14:solidFill>
                </w14:textFill>
              </w:rPr>
              <w:t>曲永松，石少婷，王文海，徐红，宫春梓，孙振龙，邢世波，李启立，董广云，孙秀明，王凤姣，刘东波，周燕，李艳萍，</w:t>
            </w:r>
            <w:r>
              <w:rPr>
                <w:rFonts w:hint="eastAsia" w:ascii="宋体" w:hAnsi="宋体" w:eastAsia="宋体" w:cs="宋体"/>
                <w:color w:val="000000"/>
                <w:kern w:val="0"/>
                <w:sz w:val="21"/>
                <w:szCs w:val="21"/>
                <w:lang w:bidi="ar"/>
              </w:rPr>
              <w:t>徐宁，郁庆伟</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themeColor="text1"/>
                <w:kern w:val="0"/>
                <w:sz w:val="21"/>
                <w:szCs w:val="21"/>
                <w:lang w:bidi="ar"/>
                <w14:textFill>
                  <w14:solidFill>
                    <w14:schemeClr w14:val="tx1"/>
                  </w14:solidFill>
                </w14:textFill>
              </w:rPr>
              <w:t>山东省莱阳卫生学校，中</w:t>
            </w:r>
            <w:r>
              <w:rPr>
                <w:rFonts w:hint="eastAsia" w:ascii="宋体" w:hAnsi="宋体" w:eastAsia="宋体" w:cs="宋体"/>
                <w:color w:val="000000"/>
                <w:kern w:val="0"/>
                <w:sz w:val="21"/>
                <w:szCs w:val="21"/>
                <w:lang w:bidi="ar"/>
              </w:rPr>
              <w:t>国国际科技促进会医药卫生教学与研究工作委员会，滨州职业学院，滨州医学院烟台附属医院，上海弘联医学科技集团有限公司</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2023.07</w:t>
            </w:r>
          </w:p>
        </w:tc>
      </w:tr>
      <w:tr>
        <w:tblPrEx>
          <w:tblCellMar>
            <w:top w:w="85" w:type="dxa"/>
            <w:left w:w="108" w:type="dxa"/>
            <w:bottom w:w="85" w:type="dxa"/>
            <w:right w:w="108" w:type="dxa"/>
          </w:tblCellMar>
        </w:tblPrEx>
        <w:trPr>
          <w:trHeight w:val="397" w:hRule="atLeast"/>
          <w:jc w:val="center"/>
        </w:trPr>
        <w:tc>
          <w:tcPr>
            <w:tcW w:w="46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2</w:t>
            </w:r>
          </w:p>
        </w:tc>
        <w:tc>
          <w:tcPr>
            <w:tcW w:w="1847"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国家级教学成果二等奖：“素养引领、德课融通、机制协同” 中职学校课程德育模式的创新与实践</w:t>
            </w:r>
          </w:p>
        </w:tc>
        <w:tc>
          <w:tcPr>
            <w:tcW w:w="295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段威，李</w:t>
            </w:r>
            <w:r>
              <w:rPr>
                <w:rFonts w:hint="eastAsia" w:ascii="宋体" w:hAnsi="宋体" w:eastAsia="宋体" w:cs="宋体"/>
                <w:color w:val="000000" w:themeColor="text1"/>
                <w:kern w:val="0"/>
                <w:sz w:val="21"/>
                <w:szCs w:val="21"/>
                <w:lang w:bidi="ar"/>
                <w14:textFill>
                  <w14:solidFill>
                    <w14:schemeClr w14:val="tx1"/>
                  </w14:solidFill>
                </w14:textFill>
              </w:rPr>
              <w:t>真，石少婷，高卫东，吴跃江，王广志，刘善娇，张晓宁，蔡沐禅，修振腾，张军，王尉，夏红梅，孙萌苑，尹婷婷，吕小东，孙晓虹，王传丽，孙武装，迟荣香，吴卫斌，杜树佳，王凤姣</w:t>
            </w:r>
          </w:p>
        </w:tc>
        <w:tc>
          <w:tcPr>
            <w:tcW w:w="237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left"/>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烟台市职业教育</w:t>
            </w:r>
            <w:r>
              <w:rPr>
                <w:rFonts w:hint="eastAsia" w:ascii="宋体" w:hAnsi="宋体" w:eastAsia="宋体" w:cs="宋体"/>
                <w:color w:val="000000" w:themeColor="text1"/>
                <w:kern w:val="0"/>
                <w:sz w:val="21"/>
                <w:szCs w:val="21"/>
                <w:lang w:bidi="ar"/>
                <w14:textFill>
                  <w14:solidFill>
                    <w14:schemeClr w14:val="tx1"/>
                  </w14:solidFill>
                </w14:textFill>
              </w:rPr>
              <w:t>研究室，山东省莱阳卫生学校，</w:t>
            </w:r>
            <w:r>
              <w:rPr>
                <w:rFonts w:hint="eastAsia" w:ascii="宋体" w:hAnsi="宋体" w:eastAsia="宋体" w:cs="宋体"/>
                <w:color w:val="000000"/>
                <w:kern w:val="0"/>
                <w:sz w:val="21"/>
                <w:szCs w:val="21"/>
                <w:lang w:bidi="ar"/>
              </w:rPr>
              <w:t>山东省烟台护士学校，烟台船舶工业学校，烟台工贸学校，烟台理工学校，烟台经济学校，烟台城乡建设学校，烟台临港工业学校，青岛银菲特精密机械有限公司，烟台市中医医院</w:t>
            </w:r>
          </w:p>
        </w:tc>
        <w:tc>
          <w:tcPr>
            <w:tcW w:w="115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2023.07</w:t>
            </w:r>
          </w:p>
        </w:tc>
      </w:tr>
    </w:tbl>
    <w:p>
      <w:pPr>
        <w:keepNext w:val="0"/>
        <w:keepLines w:val="0"/>
        <w:pageBreakBefore w:val="0"/>
        <w:widowControl w:val="0"/>
        <w:kinsoku/>
        <w:wordWrap/>
        <w:overflowPunct/>
        <w:topLinePunct w:val="0"/>
        <w:autoSpaceDE/>
        <w:autoSpaceDN/>
        <w:bidi w:val="0"/>
        <w:adjustRightInd/>
        <w:snapToGrid/>
        <w:spacing w:before="157" w:beforeLines="50"/>
        <w:textAlignment w:val="auto"/>
        <w:outlineLvl w:val="9"/>
        <w:rPr>
          <w:rFonts w:hint="eastAsia" w:ascii="宋体" w:hAnsi="宋体" w:eastAsia="宋体" w:cs="宋体"/>
          <w:b/>
          <w:bCs/>
          <w:sz w:val="30"/>
          <w:szCs w:val="30"/>
        </w:rPr>
      </w:pPr>
      <w:r>
        <w:rPr>
          <w:rFonts w:hint="eastAsia" w:ascii="宋体" w:hAnsi="宋体" w:eastAsia="宋体" w:cs="宋体"/>
          <w:b w:val="0"/>
          <w:bCs w:val="0"/>
          <w:color w:val="auto"/>
          <w:sz w:val="21"/>
          <w:szCs w:val="21"/>
          <w:highlight w:val="none"/>
          <w:lang w:val="en-US" w:eastAsia="zh-CN"/>
        </w:rPr>
        <w:t>数据来源：山东省莱阳卫生学校教务处</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华文新魏" w:hAnsi="华文新魏" w:eastAsia="华文新魏" w:cs="华文新魏"/>
          <w:b/>
          <w:bCs/>
          <w:color w:val="A20000"/>
          <w:sz w:val="32"/>
          <w:szCs w:val="32"/>
          <w:highlight w:val="none"/>
        </w:rPr>
      </w:pPr>
      <w:r>
        <w:rPr>
          <w:rFonts w:hint="eastAsia" w:ascii="华文新魏" w:hAnsi="华文新魏" w:eastAsia="华文新魏" w:cs="华文新魏"/>
          <w:b/>
          <w:bCs/>
          <w:color w:val="A20000"/>
          <w:sz w:val="32"/>
          <w:szCs w:val="32"/>
          <w:highlight w:val="none"/>
        </w:rPr>
        <w:t xml:space="preserve">案例 </w:t>
      </w:r>
      <w:r>
        <w:rPr>
          <w:rFonts w:hint="eastAsia" w:ascii="华文新魏" w:hAnsi="华文新魏" w:eastAsia="华文新魏" w:cs="华文新魏"/>
          <w:b/>
          <w:bCs/>
          <w:color w:val="A20000"/>
          <w:sz w:val="32"/>
          <w:szCs w:val="32"/>
          <w:highlight w:val="none"/>
        </w:rPr>
        <w:fldChar w:fldCharType="begin"/>
      </w:r>
      <w:r>
        <w:rPr>
          <w:rFonts w:hint="eastAsia" w:ascii="华文新魏" w:hAnsi="华文新魏" w:eastAsia="华文新魏" w:cs="华文新魏"/>
          <w:b/>
          <w:bCs/>
          <w:color w:val="A20000"/>
          <w:sz w:val="32"/>
          <w:szCs w:val="32"/>
          <w:highlight w:val="none"/>
        </w:rPr>
        <w:instrText xml:space="preserve"> SEQ 案例 \* ARABIC </w:instrText>
      </w:r>
      <w:r>
        <w:rPr>
          <w:rFonts w:hint="eastAsia" w:ascii="华文新魏" w:hAnsi="华文新魏" w:eastAsia="华文新魏" w:cs="华文新魏"/>
          <w:b/>
          <w:bCs/>
          <w:color w:val="A20000"/>
          <w:sz w:val="32"/>
          <w:szCs w:val="32"/>
          <w:highlight w:val="none"/>
        </w:rPr>
        <w:fldChar w:fldCharType="separate"/>
      </w:r>
      <w:r>
        <w:rPr>
          <w:rFonts w:hint="eastAsia" w:ascii="华文新魏" w:hAnsi="华文新魏" w:eastAsia="华文新魏" w:cs="华文新魏"/>
          <w:b/>
          <w:bCs/>
          <w:color w:val="A20000"/>
          <w:sz w:val="32"/>
          <w:szCs w:val="32"/>
          <w:highlight w:val="none"/>
        </w:rPr>
        <w:t>22</w:t>
      </w:r>
      <w:r>
        <w:rPr>
          <w:rFonts w:hint="eastAsia" w:ascii="华文新魏" w:hAnsi="华文新魏" w:eastAsia="华文新魏" w:cs="华文新魏"/>
          <w:b/>
          <w:bCs/>
          <w:color w:val="A20000"/>
          <w:sz w:val="32"/>
          <w:szCs w:val="32"/>
          <w:highlight w:val="none"/>
        </w:rPr>
        <w:fldChar w:fldCharType="end"/>
      </w:r>
      <w:bookmarkStart w:id="128" w:name="_Toc8123"/>
      <w:r>
        <w:rPr>
          <w:rFonts w:hint="eastAsia" w:ascii="华文新魏" w:hAnsi="华文新魏" w:eastAsia="华文新魏" w:cs="华文新魏"/>
          <w:b/>
          <w:bCs/>
          <w:color w:val="A20000"/>
          <w:sz w:val="32"/>
          <w:szCs w:val="32"/>
          <w:highlight w:val="none"/>
        </w:rPr>
        <w:t>: 以1+X证书制度试点系统推进“三教改革”</w:t>
      </w:r>
      <w:bookmarkEnd w:id="128"/>
    </w:p>
    <w:p>
      <w:pPr>
        <w:keepNext w:val="0"/>
        <w:keepLines w:val="0"/>
        <w:pageBreakBefore w:val="0"/>
        <w:widowControl w:val="0"/>
        <w:kinsoku/>
        <w:wordWrap/>
        <w:overflowPunct/>
        <w:topLinePunct w:val="0"/>
        <w:autoSpaceDE/>
        <w:autoSpaceDN/>
        <w:bidi w:val="0"/>
        <w:adjustRightInd/>
        <w:snapToGrid/>
        <w:spacing w:after="120" w:line="560" w:lineRule="exact"/>
        <w:ind w:firstLine="560" w:firstLineChars="200"/>
        <w:jc w:val="left"/>
        <w:textAlignment w:val="auto"/>
        <w:rPr>
          <w:rFonts w:ascii="仿宋_GB2312" w:hAnsi="仿宋_GB2312" w:eastAsia="仿宋_GB2312" w:cs="仿宋_GB2312"/>
          <w:sz w:val="32"/>
          <w:szCs w:val="32"/>
        </w:rPr>
      </w:pPr>
      <w:r>
        <w:rPr>
          <w:rFonts w:hint="eastAsia" w:ascii="楷体" w:hAnsi="楷体" w:eastAsia="楷体" w:cs="楷体"/>
          <w:sz w:val="28"/>
          <w:szCs w:val="28"/>
        </w:rPr>
        <w:t>学校围绕1+X证书制度，推进职业教育教学改革，2022-2023年，形成了校内1+X证书相关的教育教学管理和改革制度文件，引导3个专业，参与了5项证书的试点；共计发表1+X相关的期刊论文3篇，省教改课题1项，获批教育部“十四五”职业教育国家规划教材3本，从实践层面推动学校的三教改革。</w:t>
      </w:r>
    </w:p>
    <w:p>
      <w:pPr>
        <w:keepNext w:val="0"/>
        <w:keepLines w:val="0"/>
        <w:pageBreakBefore w:val="0"/>
        <w:widowControl w:val="0"/>
        <w:kinsoku/>
        <w:wordWrap/>
        <w:overflowPunct/>
        <w:topLinePunct w:val="0"/>
        <w:autoSpaceDE/>
        <w:autoSpaceDN/>
        <w:bidi w:val="0"/>
        <w:adjustRightInd/>
        <w:snapToGrid/>
        <w:spacing w:before="157" w:beforeLines="50" w:after="157" w:afterLines="50"/>
        <w:textAlignment w:val="auto"/>
        <w:outlineLvl w:val="0"/>
        <w:rPr>
          <w:rFonts w:hint="eastAsia" w:ascii="黑体" w:hAnsi="黑体" w:eastAsia="黑体" w:cs="黑体"/>
          <w:color w:val="A20000"/>
          <w:sz w:val="36"/>
          <w:szCs w:val="36"/>
        </w:rPr>
      </w:pPr>
      <w:bookmarkStart w:id="129" w:name="_Toc23366"/>
      <w:r>
        <w:rPr>
          <w:rFonts w:hint="eastAsia" w:ascii="黑体" w:hAnsi="黑体" w:eastAsia="黑体" w:cs="黑体"/>
          <w:color w:val="A20000"/>
          <w:sz w:val="36"/>
          <w:szCs w:val="36"/>
        </w:rPr>
        <w:t>7.面临挑战</w:t>
      </w:r>
      <w:bookmarkEnd w:id="129"/>
    </w:p>
    <w:p>
      <w:pPr>
        <w:keepNext w:val="0"/>
        <w:keepLines w:val="0"/>
        <w:pageBreakBefore w:val="0"/>
        <w:widowControl w:val="0"/>
        <w:kinsoku/>
        <w:wordWrap/>
        <w:overflowPunct/>
        <w:topLinePunct w:val="0"/>
        <w:autoSpaceDE/>
        <w:autoSpaceDN/>
        <w:bidi w:val="0"/>
        <w:adjustRightInd/>
        <w:snapToGrid/>
        <w:spacing w:line="560" w:lineRule="exact"/>
        <w:ind w:firstLine="641" w:firstLineChars="200"/>
        <w:textAlignment w:val="auto"/>
      </w:pPr>
      <w:r>
        <w:rPr>
          <w:rFonts w:hint="eastAsia" w:ascii="华文新魏" w:hAnsi="华文新魏" w:eastAsia="华文新魏" w:cs="华文新魏"/>
          <w:b/>
          <w:bCs/>
          <w:color w:val="A20000"/>
          <w:sz w:val="32"/>
          <w:szCs w:val="32"/>
          <w:highlight w:val="none"/>
        </w:rPr>
        <w:t>挑战1：</w:t>
      </w:r>
      <w:r>
        <w:rPr>
          <w:rFonts w:hint="eastAsia" w:ascii="仿宋_GB2312" w:hAnsi="仿宋_GB2312" w:eastAsia="仿宋_GB2312" w:cs="仿宋_GB2312"/>
          <w:sz w:val="28"/>
          <w:szCs w:val="28"/>
        </w:rPr>
        <w:t>党建工作创新不足。一方面表现在对政治理论和政策文件只是“泛泛而读”，抓不住主要矛盾和矛盾的主要方面，找不准发力点。另一方面，对各支部、各部门工作指导不够，不能围绕学校中心工作开展服务广大师生的活动。下一步应着力构建科学化</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智慧化党建工作体系，增强党组织吸引力。以“提升组织力、突出政治功能”为落脚点，注重宣传引导，利用互联网技术将党建工作和信息技术深度融合，在学习通、企业微信等校园平台开设线上交流专区，分享党建知识，宣传先进典型，突破传统教育模式，提升党组织的影响力和吸引力；完善双轨道培养机制，将“政治素质培养和业务培养”共同纳入新教师三年培养计划。</w:t>
      </w: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1" w:firstLineChars="200"/>
        <w:textAlignment w:val="auto"/>
        <w:rPr>
          <w:rFonts w:ascii="仿宋_GB2312" w:hAnsi="仿宋_GB2312" w:eastAsia="仿宋_GB2312" w:cs="仿宋_GB2312"/>
          <w:sz w:val="32"/>
          <w:szCs w:val="32"/>
        </w:rPr>
      </w:pPr>
      <w:r>
        <w:rPr>
          <w:rFonts w:hint="eastAsia" w:ascii="华文新魏" w:hAnsi="华文新魏" w:eastAsia="华文新魏" w:cs="华文新魏"/>
          <w:b/>
          <w:bCs/>
          <w:color w:val="A20000"/>
          <w:sz w:val="32"/>
          <w:szCs w:val="32"/>
          <w:highlight w:val="none"/>
        </w:rPr>
        <w:t>挑战2：</w:t>
      </w:r>
      <w:r>
        <w:rPr>
          <w:rFonts w:hint="eastAsia" w:ascii="仿宋_GB2312" w:hAnsi="仿宋_GB2312" w:eastAsia="仿宋_GB2312" w:cs="仿宋_GB2312"/>
          <w:sz w:val="28"/>
          <w:szCs w:val="28"/>
        </w:rPr>
        <w:t>因为疫情影响，青少年心理健康问题日益突出，学习无动力、真实世界无兴趣、社交无能力、生命无价值感的中职生越来越多。学校2022级新生入学普查，量表初筛显示约有30%同学存在不同程度的心理困扰，造成学生管理难度和风险增加。除此之外，班主任团队年轻化，基本都是刚入职的新教师，学生教育管理的理论基础薄弱，实践经验不足，家校沟通能力欠缺，给学生教育管理带来难度和风险。</w:t>
      </w:r>
      <w:r>
        <w:rPr>
          <w:rFonts w:hint="eastAsia" w:ascii="宋体" w:hAnsi="宋体" w:eastAsia="宋体" w:cs="宋体"/>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1" w:firstLineChars="200"/>
        <w:textAlignment w:val="auto"/>
        <w:rPr>
          <w:rFonts w:ascii="仿宋_GB2312" w:hAnsi="仿宋_GB2312" w:eastAsia="仿宋_GB2312" w:cs="仿宋_GB2312"/>
          <w:sz w:val="32"/>
          <w:szCs w:val="32"/>
        </w:rPr>
      </w:pPr>
      <w:r>
        <w:rPr>
          <w:rFonts w:hint="eastAsia" w:ascii="华文新魏" w:hAnsi="华文新魏" w:eastAsia="华文新魏" w:cs="华文新魏"/>
          <w:b/>
          <w:bCs/>
          <w:color w:val="A20000"/>
          <w:sz w:val="32"/>
          <w:szCs w:val="32"/>
          <w:highlight w:val="none"/>
        </w:rPr>
        <w:t>挑战3：</w:t>
      </w:r>
      <w:r>
        <w:rPr>
          <w:rFonts w:hint="eastAsia" w:ascii="仿宋_GB2312" w:hAnsi="仿宋_GB2312" w:eastAsia="仿宋_GB2312" w:cs="仿宋_GB2312"/>
          <w:sz w:val="28"/>
          <w:szCs w:val="28"/>
        </w:rPr>
        <w:t>教师学历、年龄和职称结构有待优化提升。由于历史遗留问题等原因，教师的学历层次有所欠缺，高学历教师比例不高，研究生学历的教师占比不到一半，与高职学校教师学历情况差距很大。近几年，临近退休的教师基本是副高级以上职称，而近三年新进的年轻教师正处于三年培养期，缺乏一定的教学经验和科研能力，不能作为骨干力量承担学校的团队建设、专业建设、课程建设、项目建项。</w:t>
      </w:r>
    </w:p>
    <w:p>
      <w:pPr>
        <w:keepNext w:val="0"/>
        <w:keepLines w:val="0"/>
        <w:pageBreakBefore w:val="0"/>
        <w:widowControl w:val="0"/>
        <w:kinsoku/>
        <w:wordWrap/>
        <w:overflowPunct/>
        <w:topLinePunct w:val="0"/>
        <w:autoSpaceDE/>
        <w:autoSpaceDN/>
        <w:bidi w:val="0"/>
        <w:adjustRightInd/>
        <w:snapToGrid/>
        <w:spacing w:line="560" w:lineRule="exact"/>
        <w:ind w:firstLine="641" w:firstLineChars="200"/>
        <w:textAlignment w:val="auto"/>
        <w:rPr>
          <w:rFonts w:ascii="仿宋_GB2312" w:hAnsi="仿宋_GB2312" w:eastAsia="仿宋_GB2312" w:cs="仿宋_GB2312"/>
          <w:sz w:val="32"/>
          <w:szCs w:val="32"/>
        </w:rPr>
      </w:pPr>
      <w:r>
        <w:rPr>
          <w:rFonts w:hint="eastAsia" w:ascii="华文新魏" w:hAnsi="华文新魏" w:eastAsia="华文新魏" w:cs="华文新魏"/>
          <w:b/>
          <w:bCs/>
          <w:color w:val="A20000"/>
          <w:sz w:val="32"/>
          <w:szCs w:val="32"/>
          <w:highlight w:val="none"/>
        </w:rPr>
        <w:t>挑战4：</w:t>
      </w:r>
      <w:r>
        <w:rPr>
          <w:rFonts w:hint="eastAsia" w:ascii="仿宋_GB2312" w:hAnsi="仿宋_GB2312" w:eastAsia="仿宋_GB2312" w:cs="仿宋_GB2312"/>
          <w:sz w:val="28"/>
          <w:szCs w:val="28"/>
        </w:rPr>
        <w:t>数字化转型对学校教师能力提出新挑战。随着数字化转型发展，学校教师在教师教学能力上存在着各种不适应，一是教师专业能力不适应产业升级的需要。在产业转型升级环境下，教师需要具备较强的学习能力，以便跟上不断发展变化的科学技术，避免因知识、技能陈旧而被淘汰。二是教师教学能力不适应教学形态的变化。部分教师，特别是老教师应用数字化学习资源的效果不明显，信息化素养不够高，不能够对数字资源进一步挖掘，影响了数字资源使用效率。三是学生多途径获取知识的现状给教师自身能力带来挑战。学生获取知识的途径越来越多，这需要教师转变教育理念、课堂结构、教学方式以及评价方式，成为职业院校教师面临的巨大挑战。</w:t>
      </w:r>
    </w:p>
    <w:p>
      <w:pPr>
        <w:pStyle w:val="5"/>
        <w:ind w:firstLine="560"/>
        <w:outlineLvl w:val="0"/>
      </w:pPr>
      <w:bookmarkStart w:id="130" w:name="_Toc18120"/>
      <w:r>
        <w:rPr>
          <w:rFonts w:hint="eastAsia" w:ascii="黑体" w:hAnsi="黑体" w:eastAsia="黑体" w:cs="黑体"/>
          <w:color w:val="A20000"/>
          <w:kern w:val="2"/>
          <w:sz w:val="36"/>
          <w:szCs w:val="36"/>
          <w:lang w:val="en-US" w:eastAsia="zh-CN" w:bidi="ar-SA"/>
        </w:rPr>
        <w:t>附表:</w:t>
      </w:r>
      <w:bookmarkEnd w:id="130"/>
      <w:r>
        <w:rPr>
          <w:rFonts w:hint="eastAsia"/>
        </w:rPr>
        <w:t xml:space="preserve">  </w:t>
      </w:r>
    </w:p>
    <w:p>
      <w:pPr>
        <w:ind w:firstLine="1600" w:firstLineChars="500"/>
      </w:pPr>
      <w:r>
        <w:rPr>
          <w:rFonts w:hint="eastAsia" w:ascii="Times New Roman" w:hAnsi="Times New Roman" w:eastAsia="仿宋" w:cs="Times New Roman"/>
          <w:sz w:val="32"/>
        </w:rPr>
        <w:t>表1：人才培养质量表</w:t>
      </w:r>
    </w:p>
    <w:p>
      <w:pPr>
        <w:pStyle w:val="5"/>
        <w:ind w:firstLine="640"/>
      </w:pPr>
      <w:r>
        <w:rPr>
          <w:rFonts w:hint="eastAsia"/>
        </w:rPr>
        <w:t xml:space="preserve">      表3：教学资源表</w:t>
      </w:r>
    </w:p>
    <w:p>
      <w:pPr>
        <w:pStyle w:val="5"/>
        <w:ind w:firstLine="640"/>
      </w:pPr>
      <w:r>
        <w:rPr>
          <w:rFonts w:hint="eastAsia"/>
        </w:rPr>
        <w:t xml:space="preserve">      表4：服务贡献表</w:t>
      </w:r>
    </w:p>
    <w:p>
      <w:pPr>
        <w:pStyle w:val="5"/>
        <w:ind w:firstLine="640"/>
      </w:pPr>
      <w:r>
        <w:rPr>
          <w:rFonts w:hint="eastAsia"/>
        </w:rPr>
        <w:t xml:space="preserve">      表5：国际影响表</w:t>
      </w:r>
    </w:p>
    <w:p>
      <w:pPr>
        <w:pStyle w:val="5"/>
        <w:ind w:firstLine="640"/>
      </w:pPr>
      <w:r>
        <w:rPr>
          <w:rFonts w:hint="eastAsia"/>
        </w:rPr>
        <w:t xml:space="preserve">      表6：落实政策表</w:t>
      </w:r>
    </w:p>
    <w:p>
      <w:pPr>
        <w:bidi w:val="0"/>
      </w:pPr>
    </w:p>
    <w:p>
      <w:pPr>
        <w:bidi w:val="0"/>
      </w:pPr>
    </w:p>
    <w:p>
      <w:pPr>
        <w:bidi w:val="0"/>
      </w:pPr>
    </w:p>
    <w:p>
      <w:pPr>
        <w:bidi w:val="0"/>
        <w:rPr>
          <w:rFonts w:hint="eastAsia"/>
        </w:rPr>
      </w:pPr>
    </w:p>
    <w:p>
      <w:pPr>
        <w:bidi w:val="0"/>
        <w:rPr>
          <w:rFonts w:hint="eastAsia"/>
        </w:rPr>
      </w:pPr>
    </w:p>
    <w:p>
      <w:pPr>
        <w:bidi w:val="0"/>
        <w:rPr>
          <w:rFonts w:hint="eastAsia"/>
        </w:rPr>
      </w:pPr>
    </w:p>
    <w:p>
      <w:pPr>
        <w:bidi w:val="0"/>
        <w:rPr>
          <w:rFonts w:hint="eastAsia"/>
        </w:rPr>
      </w:pPr>
    </w:p>
    <w:p>
      <w:pPr>
        <w:bidi w:val="0"/>
        <w:rPr>
          <w:rFonts w:hint="eastAsia"/>
        </w:rPr>
      </w:pPr>
    </w:p>
    <w:p>
      <w:pPr>
        <w:bidi w:val="0"/>
        <w:rPr>
          <w:rFonts w:hint="eastAsia"/>
        </w:rPr>
      </w:pPr>
    </w:p>
    <w:p>
      <w:pPr>
        <w:bidi w:val="0"/>
        <w:rPr>
          <w:rFonts w:hint="eastAsia"/>
        </w:rPr>
      </w:pPr>
    </w:p>
    <w:p>
      <w:pPr>
        <w:bidi w:val="0"/>
        <w:rPr>
          <w:rFonts w:hint="eastAsia"/>
        </w:rPr>
      </w:pPr>
    </w:p>
    <w:p>
      <w:pPr>
        <w:rPr>
          <w:rFonts w:hint="eastAsia"/>
        </w:rPr>
      </w:pPr>
      <w:r>
        <w:rPr>
          <w:rFonts w:hint="eastAsia"/>
        </w:rPr>
        <w:br w:type="page"/>
      </w:r>
    </w:p>
    <w:p>
      <w:pPr>
        <w:pStyle w:val="3"/>
        <w:keepNext/>
        <w:keepLines/>
        <w:pageBreakBefore w:val="0"/>
        <w:widowControl w:val="0"/>
        <w:kinsoku/>
        <w:wordWrap/>
        <w:overflowPunct/>
        <w:topLinePunct w:val="0"/>
        <w:autoSpaceDE/>
        <w:autoSpaceDN/>
        <w:bidi w:val="0"/>
        <w:adjustRightInd/>
        <w:snapToGrid/>
        <w:jc w:val="center"/>
        <w:textAlignment w:val="auto"/>
        <w:rPr>
          <w:rFonts w:hint="eastAsia"/>
        </w:rPr>
      </w:pPr>
      <w:bookmarkStart w:id="131" w:name="_Toc9684"/>
      <w:r>
        <w:rPr>
          <w:rFonts w:hint="eastAsia"/>
        </w:rPr>
        <w:t>表1 人才培养质量计分卡</w:t>
      </w:r>
      <w:bookmarkEnd w:id="131"/>
    </w:p>
    <w:tbl>
      <w:tblPr>
        <w:tblStyle w:val="18"/>
        <w:tblW w:w="8289" w:type="dxa"/>
        <w:jc w:val="center"/>
        <w:tblLayout w:type="fixed"/>
        <w:tblCellMar>
          <w:top w:w="0" w:type="dxa"/>
          <w:left w:w="108" w:type="dxa"/>
          <w:bottom w:w="0" w:type="dxa"/>
          <w:right w:w="108" w:type="dxa"/>
        </w:tblCellMar>
      </w:tblPr>
      <w:tblGrid>
        <w:gridCol w:w="1033"/>
        <w:gridCol w:w="4651"/>
        <w:gridCol w:w="1302"/>
        <w:gridCol w:w="1303"/>
      </w:tblGrid>
      <w:tr>
        <w:tblPrEx>
          <w:tblCellMar>
            <w:top w:w="0" w:type="dxa"/>
            <w:left w:w="108" w:type="dxa"/>
            <w:bottom w:w="0" w:type="dxa"/>
            <w:right w:w="108" w:type="dxa"/>
          </w:tblCellMar>
        </w:tblPrEx>
        <w:trPr>
          <w:trHeight w:val="454" w:hRule="atLeast"/>
          <w:jc w:val="center"/>
        </w:trPr>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b/>
                <w:bCs/>
                <w:color w:val="000000"/>
                <w:sz w:val="24"/>
                <w:szCs w:val="24"/>
              </w:rPr>
            </w:pPr>
            <w:r>
              <w:rPr>
                <w:rFonts w:ascii="仿宋_GB2312" w:hAnsi="宋体" w:eastAsia="仿宋_GB2312" w:cs="仿宋_GB2312"/>
                <w:b/>
                <w:bCs/>
                <w:color w:val="000000"/>
                <w:kern w:val="0"/>
                <w:sz w:val="24"/>
                <w:szCs w:val="24"/>
                <w:lang w:bidi="ar"/>
              </w:rPr>
              <w:t>序号</w:t>
            </w:r>
          </w:p>
        </w:tc>
        <w:tc>
          <w:tcPr>
            <w:tcW w:w="465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b/>
                <w:bCs/>
                <w:color w:val="000000"/>
                <w:sz w:val="24"/>
                <w:szCs w:val="24"/>
              </w:rPr>
            </w:pPr>
            <w:r>
              <w:rPr>
                <w:rFonts w:ascii="仿宋_GB2312" w:hAnsi="宋体" w:eastAsia="仿宋_GB2312" w:cs="仿宋_GB2312"/>
                <w:b/>
                <w:bCs/>
                <w:color w:val="000000"/>
                <w:kern w:val="0"/>
                <w:sz w:val="24"/>
                <w:szCs w:val="24"/>
                <w:lang w:bidi="ar"/>
              </w:rPr>
              <w:t>指标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b/>
                <w:bCs/>
                <w:color w:val="000000"/>
                <w:sz w:val="24"/>
                <w:szCs w:val="24"/>
              </w:rPr>
            </w:pPr>
            <w:r>
              <w:rPr>
                <w:rFonts w:ascii="仿宋_GB2312" w:hAnsi="宋体" w:eastAsia="仿宋_GB2312" w:cs="仿宋_GB2312"/>
                <w:b/>
                <w:bCs/>
                <w:color w:val="000000"/>
                <w:kern w:val="0"/>
                <w:sz w:val="24"/>
                <w:szCs w:val="24"/>
                <w:lang w:bidi="ar"/>
              </w:rPr>
              <w:t>单位</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b/>
                <w:bCs/>
                <w:color w:val="000000"/>
                <w:sz w:val="24"/>
                <w:szCs w:val="24"/>
              </w:rPr>
            </w:pPr>
            <w:r>
              <w:rPr>
                <w:rFonts w:ascii="仿宋_GB2312" w:hAnsi="宋体" w:eastAsia="仿宋_GB2312" w:cs="仿宋_GB2312"/>
                <w:b/>
                <w:bCs/>
                <w:color w:val="000000"/>
                <w:kern w:val="0"/>
                <w:sz w:val="24"/>
                <w:szCs w:val="24"/>
                <w:lang w:bidi="ar"/>
              </w:rPr>
              <w:t>2023年</w:t>
            </w:r>
          </w:p>
        </w:tc>
      </w:tr>
      <w:tr>
        <w:tblPrEx>
          <w:tblCellMar>
            <w:top w:w="0" w:type="dxa"/>
            <w:left w:w="108" w:type="dxa"/>
            <w:bottom w:w="0" w:type="dxa"/>
            <w:right w:w="108" w:type="dxa"/>
          </w:tblCellMar>
        </w:tblPrEx>
        <w:trPr>
          <w:trHeight w:val="454" w:hRule="atLeast"/>
          <w:jc w:val="center"/>
        </w:trPr>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1</w:t>
            </w:r>
          </w:p>
        </w:tc>
        <w:tc>
          <w:tcPr>
            <w:tcW w:w="465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left"/>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毕业生人数*</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973</w:t>
            </w:r>
          </w:p>
        </w:tc>
      </w:tr>
      <w:tr>
        <w:tblPrEx>
          <w:tblCellMar>
            <w:top w:w="0" w:type="dxa"/>
            <w:left w:w="108" w:type="dxa"/>
            <w:bottom w:w="0" w:type="dxa"/>
            <w:right w:w="108" w:type="dxa"/>
          </w:tblCellMar>
        </w:tblPrEx>
        <w:trPr>
          <w:trHeight w:val="454" w:hRule="atLeast"/>
          <w:jc w:val="center"/>
        </w:trPr>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2</w:t>
            </w:r>
          </w:p>
        </w:tc>
        <w:tc>
          <w:tcPr>
            <w:tcW w:w="465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毕业去向落实人数</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959</w:t>
            </w:r>
          </w:p>
        </w:tc>
      </w:tr>
      <w:tr>
        <w:tblPrEx>
          <w:tblCellMar>
            <w:top w:w="0" w:type="dxa"/>
            <w:left w:w="108" w:type="dxa"/>
            <w:bottom w:w="0" w:type="dxa"/>
            <w:right w:w="108" w:type="dxa"/>
          </w:tblCellMar>
        </w:tblPrEx>
        <w:trPr>
          <w:trHeight w:val="454"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p>
        </w:tc>
        <w:tc>
          <w:tcPr>
            <w:tcW w:w="465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其中：毕业生升学人数</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959</w:t>
            </w:r>
          </w:p>
        </w:tc>
      </w:tr>
      <w:tr>
        <w:tblPrEx>
          <w:tblCellMar>
            <w:top w:w="0" w:type="dxa"/>
            <w:left w:w="108" w:type="dxa"/>
            <w:bottom w:w="0" w:type="dxa"/>
            <w:right w:w="108" w:type="dxa"/>
          </w:tblCellMar>
        </w:tblPrEx>
        <w:trPr>
          <w:trHeight w:val="454"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p>
        </w:tc>
        <w:tc>
          <w:tcPr>
            <w:tcW w:w="465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升入本科人数</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42</w:t>
            </w:r>
          </w:p>
        </w:tc>
      </w:tr>
      <w:tr>
        <w:tblPrEx>
          <w:tblCellMar>
            <w:top w:w="0" w:type="dxa"/>
            <w:left w:w="108" w:type="dxa"/>
            <w:bottom w:w="0" w:type="dxa"/>
            <w:right w:w="108" w:type="dxa"/>
          </w:tblCellMar>
        </w:tblPrEx>
        <w:trPr>
          <w:trHeight w:val="454" w:hRule="atLeast"/>
          <w:jc w:val="center"/>
        </w:trPr>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3</w:t>
            </w:r>
          </w:p>
        </w:tc>
        <w:tc>
          <w:tcPr>
            <w:tcW w:w="465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毕业生本省去向落实率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 xml:space="preserve">98.46 </w:t>
            </w:r>
          </w:p>
        </w:tc>
      </w:tr>
      <w:tr>
        <w:tblPrEx>
          <w:tblCellMar>
            <w:top w:w="0" w:type="dxa"/>
            <w:left w:w="108" w:type="dxa"/>
            <w:bottom w:w="0" w:type="dxa"/>
            <w:right w:w="108" w:type="dxa"/>
          </w:tblCellMar>
        </w:tblPrEx>
        <w:trPr>
          <w:trHeight w:val="454" w:hRule="atLeast"/>
          <w:jc w:val="center"/>
        </w:trPr>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4</w:t>
            </w:r>
          </w:p>
        </w:tc>
        <w:tc>
          <w:tcPr>
            <w:tcW w:w="465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月收入</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元</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0</w:t>
            </w:r>
          </w:p>
        </w:tc>
      </w:tr>
      <w:tr>
        <w:tblPrEx>
          <w:tblCellMar>
            <w:top w:w="0" w:type="dxa"/>
            <w:left w:w="108" w:type="dxa"/>
            <w:bottom w:w="0" w:type="dxa"/>
            <w:right w:w="108" w:type="dxa"/>
          </w:tblCellMar>
        </w:tblPrEx>
        <w:trPr>
          <w:trHeight w:val="454" w:hRule="atLeast"/>
          <w:jc w:val="center"/>
        </w:trPr>
        <w:tc>
          <w:tcPr>
            <w:tcW w:w="1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5</w:t>
            </w:r>
          </w:p>
        </w:tc>
        <w:tc>
          <w:tcPr>
            <w:tcW w:w="465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left"/>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毕业生面向三次产业就业人数</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0</w:t>
            </w:r>
          </w:p>
        </w:tc>
      </w:tr>
      <w:tr>
        <w:tblPrEx>
          <w:tblCellMar>
            <w:top w:w="0" w:type="dxa"/>
            <w:left w:w="108" w:type="dxa"/>
            <w:bottom w:w="0" w:type="dxa"/>
            <w:right w:w="108" w:type="dxa"/>
          </w:tblCellMar>
        </w:tblPrEx>
        <w:trPr>
          <w:trHeight w:val="454"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p>
        </w:tc>
        <w:tc>
          <w:tcPr>
            <w:tcW w:w="465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left"/>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其中：面向第一产业</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0</w:t>
            </w:r>
          </w:p>
        </w:tc>
      </w:tr>
      <w:tr>
        <w:tblPrEx>
          <w:tblCellMar>
            <w:top w:w="0" w:type="dxa"/>
            <w:left w:w="108" w:type="dxa"/>
            <w:bottom w:w="0" w:type="dxa"/>
            <w:right w:w="108" w:type="dxa"/>
          </w:tblCellMar>
        </w:tblPrEx>
        <w:trPr>
          <w:trHeight w:val="454"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p>
        </w:tc>
        <w:tc>
          <w:tcPr>
            <w:tcW w:w="465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left"/>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面向第二产业</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0</w:t>
            </w:r>
          </w:p>
        </w:tc>
      </w:tr>
      <w:tr>
        <w:tblPrEx>
          <w:tblCellMar>
            <w:top w:w="0" w:type="dxa"/>
            <w:left w:w="108" w:type="dxa"/>
            <w:bottom w:w="0" w:type="dxa"/>
            <w:right w:w="108" w:type="dxa"/>
          </w:tblCellMar>
        </w:tblPrEx>
        <w:trPr>
          <w:trHeight w:val="454" w:hRule="atLeast"/>
          <w:jc w:val="center"/>
        </w:trPr>
        <w:tc>
          <w:tcPr>
            <w:tcW w:w="1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p>
        </w:tc>
        <w:tc>
          <w:tcPr>
            <w:tcW w:w="465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left"/>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面向第三产业</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0</w:t>
            </w:r>
          </w:p>
        </w:tc>
      </w:tr>
      <w:tr>
        <w:tblPrEx>
          <w:tblCellMar>
            <w:top w:w="0" w:type="dxa"/>
            <w:left w:w="108" w:type="dxa"/>
            <w:bottom w:w="0" w:type="dxa"/>
            <w:right w:w="108" w:type="dxa"/>
          </w:tblCellMar>
        </w:tblPrEx>
        <w:trPr>
          <w:trHeight w:val="454" w:hRule="atLeast"/>
          <w:jc w:val="center"/>
        </w:trPr>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6</w:t>
            </w:r>
          </w:p>
        </w:tc>
        <w:tc>
          <w:tcPr>
            <w:tcW w:w="465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自主创业率</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0</w:t>
            </w:r>
          </w:p>
        </w:tc>
      </w:tr>
      <w:tr>
        <w:tblPrEx>
          <w:tblCellMar>
            <w:top w:w="0" w:type="dxa"/>
            <w:left w:w="108" w:type="dxa"/>
            <w:bottom w:w="0" w:type="dxa"/>
            <w:right w:w="108" w:type="dxa"/>
          </w:tblCellMar>
        </w:tblPrEx>
        <w:trPr>
          <w:trHeight w:val="454" w:hRule="atLeast"/>
          <w:jc w:val="center"/>
        </w:trPr>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7</w:t>
            </w:r>
          </w:p>
        </w:tc>
        <w:tc>
          <w:tcPr>
            <w:tcW w:w="465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毕业三年晋升比例</w:t>
            </w:r>
          </w:p>
        </w:tc>
        <w:tc>
          <w:tcPr>
            <w:tcW w:w="130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0</w:t>
            </w:r>
          </w:p>
        </w:tc>
      </w:tr>
    </w:tbl>
    <w:p>
      <w:pPr>
        <w:tabs>
          <w:tab w:val="left" w:pos="958"/>
          <w:tab w:val="left" w:pos="1078"/>
        </w:tabs>
        <w:spacing w:line="440" w:lineRule="exact"/>
        <w:ind w:firstLine="561"/>
        <w:rPr>
          <w:rFonts w:ascii="仿宋_GB2312" w:hAnsi="仿宋_GB2312" w:eastAsia="仿宋_GB2312" w:cs="仿宋_GB2312"/>
          <w:sz w:val="28"/>
          <w:szCs w:val="28"/>
          <w:lang w:bidi="ar"/>
        </w:rPr>
      </w:pPr>
    </w:p>
    <w:p>
      <w:pPr>
        <w:rPr>
          <w:rFonts w:hint="eastAsia"/>
        </w:rPr>
      </w:pPr>
      <w:r>
        <w:rPr>
          <w:rFonts w:hint="eastAsia"/>
        </w:rPr>
        <w:br w:type="page"/>
      </w:r>
    </w:p>
    <w:p>
      <w:pPr>
        <w:pStyle w:val="3"/>
        <w:keepNext/>
        <w:keepLines/>
        <w:pageBreakBefore w:val="0"/>
        <w:widowControl w:val="0"/>
        <w:kinsoku/>
        <w:wordWrap/>
        <w:overflowPunct/>
        <w:topLinePunct w:val="0"/>
        <w:autoSpaceDE/>
        <w:autoSpaceDN/>
        <w:bidi w:val="0"/>
        <w:adjustRightInd/>
        <w:snapToGrid/>
        <w:jc w:val="center"/>
        <w:textAlignment w:val="auto"/>
        <w:rPr>
          <w:rFonts w:hint="eastAsia"/>
        </w:rPr>
      </w:pPr>
      <w:bookmarkStart w:id="132" w:name="_Toc25657"/>
      <w:r>
        <w:rPr>
          <w:rFonts w:hint="eastAsia"/>
        </w:rPr>
        <w:t>表3 教学资源表</w:t>
      </w:r>
      <w:bookmarkEnd w:id="132"/>
    </w:p>
    <w:tbl>
      <w:tblPr>
        <w:tblStyle w:val="18"/>
        <w:tblW w:w="8843" w:type="dxa"/>
        <w:jc w:val="center"/>
        <w:tblLayout w:type="fixed"/>
        <w:tblCellMar>
          <w:top w:w="0" w:type="dxa"/>
          <w:left w:w="108" w:type="dxa"/>
          <w:bottom w:w="0" w:type="dxa"/>
          <w:right w:w="108" w:type="dxa"/>
        </w:tblCellMar>
      </w:tblPr>
      <w:tblGrid>
        <w:gridCol w:w="831"/>
        <w:gridCol w:w="1776"/>
        <w:gridCol w:w="2252"/>
        <w:gridCol w:w="969"/>
        <w:gridCol w:w="3015"/>
      </w:tblGrid>
      <w:tr>
        <w:tblPrEx>
          <w:tblCellMar>
            <w:top w:w="0" w:type="dxa"/>
            <w:left w:w="108" w:type="dxa"/>
            <w:bottom w:w="0" w:type="dxa"/>
            <w:right w:w="108" w:type="dxa"/>
          </w:tblCellMar>
        </w:tblPrEx>
        <w:trPr>
          <w:trHeight w:val="454" w:hRule="atLeast"/>
          <w:jc w:val="center"/>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lang w:bidi="ar"/>
              </w:rPr>
              <w:t>序号</w:t>
            </w: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lang w:bidi="ar"/>
              </w:rPr>
              <w:t>指标</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lang w:bidi="ar"/>
              </w:rPr>
              <w:t>单位</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lang w:bidi="ar"/>
              </w:rPr>
              <w:t>2023年</w:t>
            </w:r>
          </w:p>
        </w:tc>
      </w:tr>
      <w:tr>
        <w:tblPrEx>
          <w:tblCellMar>
            <w:top w:w="0" w:type="dxa"/>
            <w:left w:w="108" w:type="dxa"/>
            <w:bottom w:w="0" w:type="dxa"/>
            <w:right w:w="108" w:type="dxa"/>
          </w:tblCellMar>
        </w:tblPrEx>
        <w:trPr>
          <w:trHeight w:val="454" w:hRule="atLeast"/>
          <w:jc w:val="center"/>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1</w:t>
            </w: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生师比*</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10.65:1</w:t>
            </w:r>
          </w:p>
        </w:tc>
      </w:tr>
      <w:tr>
        <w:tblPrEx>
          <w:tblCellMar>
            <w:top w:w="0" w:type="dxa"/>
            <w:left w:w="108" w:type="dxa"/>
            <w:bottom w:w="0" w:type="dxa"/>
            <w:right w:w="108" w:type="dxa"/>
          </w:tblCellMar>
        </w:tblPrEx>
        <w:trPr>
          <w:trHeight w:val="454" w:hRule="atLeast"/>
          <w:jc w:val="center"/>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2</w:t>
            </w: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双师素质专任教师比例*</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71.17</w:t>
            </w:r>
          </w:p>
        </w:tc>
      </w:tr>
      <w:tr>
        <w:tblPrEx>
          <w:tblCellMar>
            <w:top w:w="0" w:type="dxa"/>
            <w:left w:w="108" w:type="dxa"/>
            <w:bottom w:w="0" w:type="dxa"/>
            <w:right w:w="108" w:type="dxa"/>
          </w:tblCellMar>
        </w:tblPrEx>
        <w:trPr>
          <w:trHeight w:val="454" w:hRule="atLeast"/>
          <w:jc w:val="center"/>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3</w:t>
            </w: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高级专业技术职务专任教师比例*</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34.52</w:t>
            </w:r>
          </w:p>
        </w:tc>
      </w:tr>
      <w:tr>
        <w:tblPrEx>
          <w:tblCellMar>
            <w:top w:w="0" w:type="dxa"/>
            <w:left w:w="108" w:type="dxa"/>
            <w:bottom w:w="0" w:type="dxa"/>
            <w:right w:w="108" w:type="dxa"/>
          </w:tblCellMar>
        </w:tblPrEx>
        <w:trPr>
          <w:trHeight w:val="454" w:hRule="atLeast"/>
          <w:jc w:val="center"/>
        </w:trPr>
        <w:tc>
          <w:tcPr>
            <w:tcW w:w="8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4</w:t>
            </w:r>
          </w:p>
        </w:tc>
        <w:tc>
          <w:tcPr>
            <w:tcW w:w="402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专业群数量*</w:t>
            </w:r>
          </w:p>
        </w:tc>
        <w:tc>
          <w:tcPr>
            <w:tcW w:w="9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个</w:t>
            </w:r>
          </w:p>
        </w:tc>
        <w:tc>
          <w:tcPr>
            <w:tcW w:w="30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kern w:val="0"/>
                <w:sz w:val="24"/>
                <w:szCs w:val="24"/>
                <w:lang w:val="en-US" w:eastAsia="zh-CN" w:bidi="ar"/>
              </w:rPr>
              <w:t>0</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rPr>
                <w:rFonts w:hint="eastAsia" w:ascii="仿宋_GB2312" w:hAnsi="仿宋_GB2312" w:eastAsia="仿宋_GB2312" w:cs="仿宋_GB2312"/>
                <w:color w:val="000000"/>
                <w:sz w:val="24"/>
                <w:szCs w:val="24"/>
              </w:rPr>
            </w:pPr>
          </w:p>
        </w:tc>
        <w:tc>
          <w:tcPr>
            <w:tcW w:w="9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30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rPr>
                <w:rFonts w:hint="eastAsia" w:ascii="仿宋_GB2312" w:hAnsi="仿宋_GB2312" w:eastAsia="仿宋_GB2312" w:cs="仿宋_GB2312"/>
                <w:color w:val="000000"/>
                <w:sz w:val="24"/>
                <w:szCs w:val="24"/>
              </w:rPr>
            </w:pP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专业数量*</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个</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w:t>
            </w:r>
          </w:p>
        </w:tc>
      </w:tr>
      <w:tr>
        <w:tblPrEx>
          <w:tblCellMar>
            <w:top w:w="0" w:type="dxa"/>
            <w:left w:w="108" w:type="dxa"/>
            <w:bottom w:w="0" w:type="dxa"/>
            <w:right w:w="108" w:type="dxa"/>
          </w:tblCellMar>
        </w:tblPrEx>
        <w:trPr>
          <w:trHeight w:val="454" w:hRule="atLeast"/>
          <w:jc w:val="center"/>
        </w:trPr>
        <w:tc>
          <w:tcPr>
            <w:tcW w:w="8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5</w:t>
            </w:r>
          </w:p>
        </w:tc>
        <w:tc>
          <w:tcPr>
            <w:tcW w:w="402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教学计划内课程总数*</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门</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182</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rPr>
                <w:rFonts w:hint="eastAsia" w:ascii="仿宋_GB2312" w:hAnsi="仿宋_GB2312" w:eastAsia="仿宋_GB2312" w:cs="仿宋_GB2312"/>
                <w:color w:val="000000"/>
                <w:sz w:val="24"/>
                <w:szCs w:val="24"/>
              </w:rPr>
            </w:pP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学时</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58512</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其中：课证融通课程数*</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门</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rPr>
                <w:rFonts w:hint="eastAsia" w:ascii="仿宋_GB2312" w:hAnsi="仿宋_GB2312" w:eastAsia="仿宋_GB2312" w:cs="仿宋_GB2312"/>
                <w:color w:val="000000"/>
                <w:sz w:val="24"/>
                <w:szCs w:val="24"/>
              </w:rPr>
            </w:pP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学时</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448</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网络教学课程数</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门</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rPr>
                <w:rFonts w:hint="eastAsia" w:ascii="仿宋_GB2312" w:hAnsi="仿宋_GB2312" w:eastAsia="仿宋_GB2312" w:cs="仿宋_GB2312"/>
                <w:color w:val="000000"/>
                <w:sz w:val="24"/>
                <w:szCs w:val="24"/>
              </w:rPr>
            </w:pP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学时</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448</w:t>
            </w:r>
          </w:p>
        </w:tc>
      </w:tr>
      <w:tr>
        <w:tblPrEx>
          <w:tblCellMar>
            <w:top w:w="0" w:type="dxa"/>
            <w:left w:w="108" w:type="dxa"/>
            <w:bottom w:w="0" w:type="dxa"/>
            <w:right w:w="108" w:type="dxa"/>
          </w:tblCellMar>
        </w:tblPrEx>
        <w:trPr>
          <w:trHeight w:val="454" w:hRule="atLeast"/>
          <w:jc w:val="center"/>
        </w:trPr>
        <w:tc>
          <w:tcPr>
            <w:tcW w:w="8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6</w:t>
            </w: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专业教学资源库数</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个</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其中：国家级数量*</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个</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接入国家智慧教育平台数量*</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个</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省级数量</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个</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接入国家智慧教育平台数量*</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个</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校级数量</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个</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7</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接入国家智慧教育平台数量*</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个</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8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7</w:t>
            </w:r>
          </w:p>
        </w:tc>
        <w:tc>
          <w:tcPr>
            <w:tcW w:w="402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在线精品课程数*</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门</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8</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rPr>
                <w:rFonts w:hint="eastAsia" w:ascii="仿宋_GB2312" w:hAnsi="仿宋_GB2312" w:eastAsia="仿宋_GB2312" w:cs="仿宋_GB2312"/>
                <w:color w:val="000000"/>
                <w:sz w:val="24"/>
                <w:szCs w:val="24"/>
              </w:rPr>
            </w:pP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学时</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512</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在线精品课程课均学生数*</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人</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353</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其中：国家级数量*</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门</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接入国家智慧教育平台数量*</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门</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720" w:firstLineChars="30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省级数量</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门</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接入国家智慧教育平台数量*</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门</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720" w:firstLineChars="30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校级数量</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门</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接入国家智慧教育平台数量*</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门</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8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8</w:t>
            </w: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虚拟仿真实训基地数</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个</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其中：国家级数量*</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个</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接入国家智慧教育平台数量*</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个</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720" w:firstLineChars="30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省级数量</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个</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接入国家智慧教育平台数量*</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个</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720" w:firstLineChars="30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校级数量</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个</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接入国家智慧教育平台数量*</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个</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8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9</w:t>
            </w: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编写教材数</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本</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20</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其中：国家规划教材数量*</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本</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720" w:firstLineChars="30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校企合作编写教材数量</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本</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720" w:firstLineChars="30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新形态教材数量</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本</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8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720" w:firstLineChars="30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接入国家智慧教育平台数量*</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本</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10</w:t>
            </w: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互联网出口带宽*</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Mbps</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500Mb</w:t>
            </w:r>
          </w:p>
        </w:tc>
      </w:tr>
      <w:tr>
        <w:tblPrEx>
          <w:tblCellMar>
            <w:top w:w="0" w:type="dxa"/>
            <w:left w:w="108" w:type="dxa"/>
            <w:bottom w:w="0" w:type="dxa"/>
            <w:right w:w="108" w:type="dxa"/>
          </w:tblCellMar>
        </w:tblPrEx>
        <w:trPr>
          <w:trHeight w:val="454" w:hRule="atLeast"/>
          <w:jc w:val="center"/>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11</w:t>
            </w: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校园网主干最大带宽*</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Mbps</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10000Mb</w:t>
            </w:r>
          </w:p>
        </w:tc>
      </w:tr>
      <w:tr>
        <w:tblPrEx>
          <w:tblCellMar>
            <w:top w:w="0" w:type="dxa"/>
            <w:left w:w="108" w:type="dxa"/>
            <w:bottom w:w="0" w:type="dxa"/>
            <w:right w:w="108" w:type="dxa"/>
          </w:tblCellMar>
        </w:tblPrEx>
        <w:trPr>
          <w:trHeight w:val="454" w:hRule="atLeast"/>
          <w:jc w:val="center"/>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12</w:t>
            </w: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生均校内实践教学工位数*</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个/生</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0.48</w:t>
            </w:r>
          </w:p>
        </w:tc>
      </w:tr>
      <w:tr>
        <w:tblPrEx>
          <w:tblCellMar>
            <w:top w:w="0" w:type="dxa"/>
            <w:left w:w="108" w:type="dxa"/>
            <w:bottom w:w="0" w:type="dxa"/>
            <w:right w:w="108" w:type="dxa"/>
          </w:tblCellMar>
        </w:tblPrEx>
        <w:trPr>
          <w:trHeight w:val="454" w:hRule="atLeast"/>
          <w:jc w:val="center"/>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13</w:t>
            </w: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生均教学科研仪器设备值*</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元/生</w:t>
            </w: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14895.82</w:t>
            </w:r>
          </w:p>
        </w:tc>
      </w:tr>
      <w:tr>
        <w:tblPrEx>
          <w:tblCellMar>
            <w:top w:w="0" w:type="dxa"/>
            <w:left w:w="108" w:type="dxa"/>
            <w:bottom w:w="0" w:type="dxa"/>
            <w:right w:w="108" w:type="dxa"/>
          </w:tblCellMar>
        </w:tblPrEx>
        <w:trPr>
          <w:trHeight w:val="454" w:hRule="atLeast"/>
          <w:jc w:val="center"/>
        </w:trPr>
        <w:tc>
          <w:tcPr>
            <w:tcW w:w="884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说明：请逐一列出学校专业群及核心专业，并选择对接产业链</w:t>
            </w:r>
          </w:p>
        </w:tc>
      </w:tr>
      <w:tr>
        <w:tblPrEx>
          <w:tblCellMar>
            <w:top w:w="0" w:type="dxa"/>
            <w:left w:w="108" w:type="dxa"/>
            <w:bottom w:w="0" w:type="dxa"/>
            <w:right w:w="108" w:type="dxa"/>
          </w:tblCellMar>
        </w:tblPrEx>
        <w:trPr>
          <w:trHeight w:val="454" w:hRule="atLeast"/>
          <w:jc w:val="center"/>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1</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lang w:bidi="ar"/>
              </w:rPr>
              <w:t>专业群名称</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lang w:bidi="ar"/>
              </w:rPr>
              <w:t>核心专业</w:t>
            </w:r>
          </w:p>
        </w:tc>
        <w:tc>
          <w:tcPr>
            <w:tcW w:w="3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b/>
                <w:bCs/>
                <w:color w:val="000000"/>
                <w:sz w:val="24"/>
                <w:szCs w:val="24"/>
              </w:rPr>
            </w:pPr>
            <w:r>
              <w:rPr>
                <w:rFonts w:hint="eastAsia" w:ascii="仿宋_GB2312" w:hAnsi="仿宋_GB2312" w:eastAsia="仿宋_GB2312" w:cs="仿宋_GB2312"/>
                <w:b/>
                <w:bCs/>
                <w:color w:val="000000"/>
                <w:kern w:val="0"/>
                <w:sz w:val="24"/>
                <w:szCs w:val="24"/>
                <w:lang w:bidi="ar"/>
              </w:rPr>
              <w:t>选择对接产业链</w:t>
            </w:r>
          </w:p>
        </w:tc>
      </w:tr>
      <w:tr>
        <w:tblPrEx>
          <w:tblCellMar>
            <w:top w:w="0" w:type="dxa"/>
            <w:left w:w="108" w:type="dxa"/>
            <w:bottom w:w="0" w:type="dxa"/>
            <w:right w:w="108" w:type="dxa"/>
          </w:tblCellMar>
        </w:tblPrEx>
        <w:trPr>
          <w:trHeight w:val="454" w:hRule="atLeast"/>
          <w:jc w:val="center"/>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2</w:t>
            </w:r>
          </w:p>
        </w:tc>
        <w:tc>
          <w:tcPr>
            <w:tcW w:w="177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b/>
                <w:bCs/>
                <w:color w:val="000000"/>
                <w:sz w:val="24"/>
                <w:szCs w:val="24"/>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b/>
                <w:bCs/>
                <w:color w:val="000000"/>
                <w:sz w:val="24"/>
                <w:szCs w:val="24"/>
              </w:rPr>
            </w:pPr>
          </w:p>
        </w:tc>
        <w:tc>
          <w:tcPr>
            <w:tcW w:w="39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b/>
                <w:bCs/>
                <w:color w:val="000000"/>
                <w:sz w:val="24"/>
                <w:szCs w:val="24"/>
              </w:rPr>
            </w:pPr>
          </w:p>
        </w:tc>
      </w:tr>
      <w:tr>
        <w:tblPrEx>
          <w:tblCellMar>
            <w:top w:w="0" w:type="dxa"/>
            <w:left w:w="108" w:type="dxa"/>
            <w:bottom w:w="0" w:type="dxa"/>
            <w:right w:w="108" w:type="dxa"/>
          </w:tblCellMar>
        </w:tblPrEx>
        <w:trPr>
          <w:trHeight w:val="454" w:hRule="atLeast"/>
          <w:jc w:val="center"/>
        </w:trPr>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lang w:bidi="ar"/>
              </w:rPr>
              <w:t>……</w:t>
            </w:r>
          </w:p>
        </w:tc>
        <w:tc>
          <w:tcPr>
            <w:tcW w:w="40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b/>
                <w:bCs/>
                <w:color w:val="000000"/>
                <w:sz w:val="24"/>
                <w:szCs w:val="24"/>
              </w:rPr>
            </w:pP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b/>
                <w:bCs/>
                <w:color w:val="000000"/>
                <w:sz w:val="24"/>
                <w:szCs w:val="24"/>
              </w:rPr>
            </w:pPr>
          </w:p>
        </w:tc>
        <w:tc>
          <w:tcPr>
            <w:tcW w:w="3015"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hint="eastAsia" w:ascii="仿宋_GB2312" w:hAnsi="仿宋_GB2312" w:eastAsia="仿宋_GB2312" w:cs="仿宋_GB2312"/>
                <w:b/>
                <w:bCs/>
                <w:color w:val="000000"/>
                <w:sz w:val="24"/>
                <w:szCs w:val="24"/>
              </w:rPr>
            </w:pPr>
          </w:p>
        </w:tc>
      </w:tr>
    </w:tbl>
    <w:p>
      <w:pPr>
        <w:rPr>
          <w:rFonts w:ascii="黑体" w:hAnsi="宋体" w:eastAsia="黑体" w:cs="黑体"/>
          <w:color w:val="000000"/>
          <w:kern w:val="0"/>
          <w:sz w:val="32"/>
          <w:szCs w:val="32"/>
          <w:lang w:bidi="ar"/>
        </w:rPr>
      </w:pPr>
      <w:r>
        <w:rPr>
          <w:rFonts w:ascii="黑体" w:hAnsi="宋体" w:eastAsia="黑体" w:cs="黑体"/>
          <w:color w:val="000000"/>
          <w:kern w:val="0"/>
          <w:sz w:val="32"/>
          <w:szCs w:val="32"/>
          <w:lang w:bidi="ar"/>
        </w:rPr>
        <w:br w:type="page"/>
      </w:r>
    </w:p>
    <w:p>
      <w:pPr>
        <w:pStyle w:val="3"/>
        <w:keepNext/>
        <w:keepLines/>
        <w:pageBreakBefore w:val="0"/>
        <w:widowControl w:val="0"/>
        <w:kinsoku/>
        <w:wordWrap/>
        <w:overflowPunct/>
        <w:topLinePunct w:val="0"/>
        <w:autoSpaceDE/>
        <w:autoSpaceDN/>
        <w:bidi w:val="0"/>
        <w:adjustRightInd/>
        <w:snapToGrid/>
        <w:jc w:val="center"/>
        <w:textAlignment w:val="auto"/>
        <w:rPr>
          <w:rFonts w:hint="eastAsia"/>
        </w:rPr>
      </w:pPr>
      <w:bookmarkStart w:id="133" w:name="_Toc31253"/>
      <w:r>
        <w:rPr>
          <w:rFonts w:hint="eastAsia"/>
        </w:rPr>
        <w:t>表4 服务贡献表</w:t>
      </w:r>
      <w:bookmarkEnd w:id="133"/>
    </w:p>
    <w:tbl>
      <w:tblPr>
        <w:tblStyle w:val="18"/>
        <w:tblW w:w="8585" w:type="dxa"/>
        <w:jc w:val="center"/>
        <w:tblLayout w:type="fixed"/>
        <w:tblCellMar>
          <w:top w:w="0" w:type="dxa"/>
          <w:left w:w="108" w:type="dxa"/>
          <w:bottom w:w="0" w:type="dxa"/>
          <w:right w:w="108" w:type="dxa"/>
        </w:tblCellMar>
      </w:tblPr>
      <w:tblGrid>
        <w:gridCol w:w="1066"/>
        <w:gridCol w:w="5027"/>
        <w:gridCol w:w="1281"/>
        <w:gridCol w:w="1211"/>
      </w:tblGrid>
      <w:tr>
        <w:tblPrEx>
          <w:tblCellMar>
            <w:top w:w="0" w:type="dxa"/>
            <w:left w:w="108" w:type="dxa"/>
            <w:bottom w:w="0" w:type="dxa"/>
            <w:right w:w="108" w:type="dxa"/>
          </w:tblCellMar>
        </w:tblPrEx>
        <w:trPr>
          <w:trHeight w:val="454" w:hRule="atLeast"/>
          <w:jc w:val="center"/>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b/>
                <w:bCs/>
                <w:color w:val="000000"/>
                <w:sz w:val="24"/>
                <w:szCs w:val="24"/>
              </w:rPr>
            </w:pPr>
            <w:r>
              <w:rPr>
                <w:rFonts w:ascii="仿宋_GB2312" w:hAnsi="宋体" w:eastAsia="仿宋_GB2312" w:cs="仿宋_GB2312"/>
                <w:b/>
                <w:bCs/>
                <w:color w:val="000000"/>
                <w:kern w:val="0"/>
                <w:sz w:val="24"/>
                <w:szCs w:val="24"/>
                <w:lang w:bidi="ar"/>
              </w:rPr>
              <w:t>序号</w:t>
            </w:r>
          </w:p>
        </w:tc>
        <w:tc>
          <w:tcPr>
            <w:tcW w:w="502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b/>
                <w:bCs/>
                <w:color w:val="000000"/>
                <w:sz w:val="24"/>
                <w:szCs w:val="24"/>
              </w:rPr>
            </w:pPr>
            <w:r>
              <w:rPr>
                <w:rFonts w:ascii="仿宋_GB2312" w:hAnsi="宋体" w:eastAsia="仿宋_GB2312" w:cs="仿宋_GB2312"/>
                <w:b/>
                <w:bCs/>
                <w:color w:val="000000"/>
                <w:kern w:val="0"/>
                <w:sz w:val="24"/>
                <w:szCs w:val="24"/>
                <w:lang w:bidi="ar"/>
              </w:rPr>
              <w:t>指标</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b/>
                <w:bCs/>
                <w:color w:val="000000"/>
                <w:sz w:val="24"/>
                <w:szCs w:val="24"/>
              </w:rPr>
            </w:pPr>
            <w:r>
              <w:rPr>
                <w:rFonts w:ascii="仿宋_GB2312" w:hAnsi="宋体" w:eastAsia="仿宋_GB2312" w:cs="仿宋_GB2312"/>
                <w:b/>
                <w:bCs/>
                <w:color w:val="000000"/>
                <w:kern w:val="0"/>
                <w:sz w:val="24"/>
                <w:szCs w:val="24"/>
                <w:lang w:bidi="ar"/>
              </w:rPr>
              <w:t>单位</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b/>
                <w:bCs/>
                <w:color w:val="000000"/>
                <w:sz w:val="24"/>
                <w:szCs w:val="24"/>
              </w:rPr>
            </w:pPr>
            <w:r>
              <w:rPr>
                <w:rFonts w:ascii="仿宋_GB2312" w:hAnsi="宋体" w:eastAsia="仿宋_GB2312" w:cs="仿宋_GB2312"/>
                <w:b/>
                <w:bCs/>
                <w:color w:val="000000"/>
                <w:kern w:val="0"/>
                <w:sz w:val="24"/>
                <w:szCs w:val="24"/>
                <w:lang w:bidi="ar"/>
              </w:rPr>
              <w:t>2023年</w:t>
            </w:r>
          </w:p>
        </w:tc>
      </w:tr>
      <w:tr>
        <w:tblPrEx>
          <w:tblCellMar>
            <w:top w:w="0" w:type="dxa"/>
            <w:left w:w="108" w:type="dxa"/>
            <w:bottom w:w="0" w:type="dxa"/>
            <w:right w:w="108" w:type="dxa"/>
          </w:tblCellMar>
        </w:tblPrEx>
        <w:trPr>
          <w:trHeight w:val="454" w:hRule="atLeast"/>
          <w:jc w:val="center"/>
        </w:trPr>
        <w:tc>
          <w:tcPr>
            <w:tcW w:w="10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1</w:t>
            </w:r>
          </w:p>
        </w:tc>
        <w:tc>
          <w:tcPr>
            <w:tcW w:w="502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毕业生初次就业人数*</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10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p>
        </w:tc>
        <w:tc>
          <w:tcPr>
            <w:tcW w:w="502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其中：A类：留在当地就业*</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10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p>
        </w:tc>
        <w:tc>
          <w:tcPr>
            <w:tcW w:w="502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 xml:space="preserve">      B类：到西部和东北地区就业*</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10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p>
        </w:tc>
        <w:tc>
          <w:tcPr>
            <w:tcW w:w="502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 xml:space="preserve">      C类：到中小微企业等基层就业*</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 xml:space="preserve">人 </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10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p>
        </w:tc>
        <w:tc>
          <w:tcPr>
            <w:tcW w:w="502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720" w:firstLineChars="30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D类：到大型企业就业*</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10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2</w:t>
            </w:r>
          </w:p>
        </w:tc>
        <w:tc>
          <w:tcPr>
            <w:tcW w:w="502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横向技术服务到款额</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万元</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10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p>
        </w:tc>
        <w:tc>
          <w:tcPr>
            <w:tcW w:w="502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横向技术服务产生的经济效益</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万元</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3</w:t>
            </w:r>
          </w:p>
        </w:tc>
        <w:tc>
          <w:tcPr>
            <w:tcW w:w="502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纵向科研经费到款额*</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万元</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4</w:t>
            </w:r>
          </w:p>
        </w:tc>
      </w:tr>
      <w:tr>
        <w:tblPrEx>
          <w:tblCellMar>
            <w:top w:w="0" w:type="dxa"/>
            <w:left w:w="108" w:type="dxa"/>
            <w:bottom w:w="0" w:type="dxa"/>
            <w:right w:w="108" w:type="dxa"/>
          </w:tblCellMar>
        </w:tblPrEx>
        <w:trPr>
          <w:trHeight w:val="454" w:hRule="atLeast"/>
          <w:jc w:val="center"/>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4</w:t>
            </w:r>
          </w:p>
        </w:tc>
        <w:tc>
          <w:tcPr>
            <w:tcW w:w="502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技术产权交易收入*</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万元</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10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5</w:t>
            </w:r>
          </w:p>
        </w:tc>
        <w:tc>
          <w:tcPr>
            <w:tcW w:w="502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知识产权项目数*</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项</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3</w:t>
            </w:r>
          </w:p>
        </w:tc>
      </w:tr>
      <w:tr>
        <w:tblPrEx>
          <w:tblCellMar>
            <w:top w:w="0" w:type="dxa"/>
            <w:left w:w="108" w:type="dxa"/>
            <w:bottom w:w="0" w:type="dxa"/>
            <w:right w:w="108" w:type="dxa"/>
          </w:tblCellMar>
        </w:tblPrEx>
        <w:trPr>
          <w:trHeight w:val="454" w:hRule="atLeast"/>
          <w:jc w:val="center"/>
        </w:trPr>
        <w:tc>
          <w:tcPr>
            <w:tcW w:w="10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p>
        </w:tc>
        <w:tc>
          <w:tcPr>
            <w:tcW w:w="502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其中：专利授权数量*</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项</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3</w:t>
            </w:r>
          </w:p>
        </w:tc>
      </w:tr>
      <w:tr>
        <w:tblPrEx>
          <w:tblCellMar>
            <w:top w:w="0" w:type="dxa"/>
            <w:left w:w="108" w:type="dxa"/>
            <w:bottom w:w="0" w:type="dxa"/>
            <w:right w:w="108" w:type="dxa"/>
          </w:tblCellMar>
        </w:tblPrEx>
        <w:trPr>
          <w:trHeight w:val="454" w:hRule="atLeast"/>
          <w:jc w:val="center"/>
        </w:trPr>
        <w:tc>
          <w:tcPr>
            <w:tcW w:w="10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p>
        </w:tc>
        <w:tc>
          <w:tcPr>
            <w:tcW w:w="502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 xml:space="preserve">      发明专利授权数量*</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项</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10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p>
        </w:tc>
        <w:tc>
          <w:tcPr>
            <w:tcW w:w="502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专利转让数量</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项</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10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p>
        </w:tc>
        <w:tc>
          <w:tcPr>
            <w:tcW w:w="502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 xml:space="preserve">      专利成果转化到款额</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万元</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10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6</w:t>
            </w:r>
          </w:p>
        </w:tc>
        <w:tc>
          <w:tcPr>
            <w:tcW w:w="502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left"/>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非学历培训项目数*</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项</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8</w:t>
            </w:r>
          </w:p>
        </w:tc>
      </w:tr>
      <w:tr>
        <w:tblPrEx>
          <w:tblCellMar>
            <w:top w:w="0" w:type="dxa"/>
            <w:left w:w="108" w:type="dxa"/>
            <w:bottom w:w="0" w:type="dxa"/>
            <w:right w:w="108" w:type="dxa"/>
          </w:tblCellMar>
        </w:tblPrEx>
        <w:trPr>
          <w:trHeight w:val="454" w:hRule="atLeast"/>
          <w:jc w:val="center"/>
        </w:trPr>
        <w:tc>
          <w:tcPr>
            <w:tcW w:w="10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p>
        </w:tc>
        <w:tc>
          <w:tcPr>
            <w:tcW w:w="502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left"/>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非学历培训学时*</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个</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2120</w:t>
            </w:r>
          </w:p>
        </w:tc>
      </w:tr>
      <w:tr>
        <w:tblPrEx>
          <w:tblCellMar>
            <w:top w:w="0" w:type="dxa"/>
            <w:left w:w="108" w:type="dxa"/>
            <w:bottom w:w="0" w:type="dxa"/>
            <w:right w:w="108" w:type="dxa"/>
          </w:tblCellMar>
        </w:tblPrEx>
        <w:trPr>
          <w:trHeight w:val="454" w:hRule="atLeast"/>
          <w:jc w:val="center"/>
        </w:trPr>
        <w:tc>
          <w:tcPr>
            <w:tcW w:w="10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p>
        </w:tc>
        <w:tc>
          <w:tcPr>
            <w:tcW w:w="502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left"/>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公益项目培训学时*</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个</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224</w:t>
            </w:r>
          </w:p>
        </w:tc>
      </w:tr>
      <w:tr>
        <w:tblPrEx>
          <w:tblCellMar>
            <w:top w:w="0" w:type="dxa"/>
            <w:left w:w="108" w:type="dxa"/>
            <w:bottom w:w="0" w:type="dxa"/>
            <w:right w:w="108" w:type="dxa"/>
          </w:tblCellMar>
        </w:tblPrEx>
        <w:trPr>
          <w:trHeight w:val="454" w:hRule="atLeast"/>
          <w:jc w:val="center"/>
        </w:trPr>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7</w:t>
            </w:r>
          </w:p>
        </w:tc>
        <w:tc>
          <w:tcPr>
            <w:tcW w:w="5027"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left"/>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非学历培训到账经费</w:t>
            </w:r>
          </w:p>
        </w:tc>
        <w:tc>
          <w:tcPr>
            <w:tcW w:w="128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kinsoku/>
              <w:wordWrap/>
              <w:overflowPunct/>
              <w:topLinePunct w:val="0"/>
              <w:autoSpaceDE/>
              <w:autoSpaceDN/>
              <w:bidi w:val="0"/>
              <w:adjustRightInd/>
              <w:snapToGrid/>
              <w:ind w:firstLine="0" w:firstLineChars="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万元</w:t>
            </w:r>
          </w:p>
        </w:tc>
        <w:tc>
          <w:tcPr>
            <w:tcW w:w="1211"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kinsoku/>
              <w:wordWrap/>
              <w:overflowPunct/>
              <w:topLinePunct w:val="0"/>
              <w:autoSpaceDE/>
              <w:autoSpaceDN/>
              <w:bidi w:val="0"/>
              <w:adjustRightInd/>
              <w:snapToGrid/>
              <w:ind w:firstLine="0" w:firstLineChars="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25</w:t>
            </w:r>
          </w:p>
        </w:tc>
      </w:tr>
    </w:tbl>
    <w:p>
      <w:pPr>
        <w:rPr>
          <w:rFonts w:hint="eastAsia"/>
        </w:rPr>
      </w:pPr>
      <w:r>
        <w:rPr>
          <w:rFonts w:hint="eastAsia"/>
        </w:rPr>
        <w:br w:type="page"/>
      </w:r>
    </w:p>
    <w:p>
      <w:pPr>
        <w:pStyle w:val="3"/>
        <w:jc w:val="center"/>
        <w:rPr>
          <w:rFonts w:hint="eastAsia"/>
        </w:rPr>
      </w:pPr>
      <w:bookmarkStart w:id="134" w:name="_Toc24760"/>
      <w:r>
        <w:rPr>
          <w:rFonts w:hint="eastAsia"/>
        </w:rPr>
        <w:t>表5 国际影响表</w:t>
      </w:r>
      <w:bookmarkEnd w:id="134"/>
    </w:p>
    <w:p>
      <w:pPr>
        <w:rPr>
          <w:rFonts w:hint="eastAsia"/>
        </w:rPr>
      </w:pPr>
    </w:p>
    <w:tbl>
      <w:tblPr>
        <w:tblStyle w:val="18"/>
        <w:tblW w:w="8745" w:type="dxa"/>
        <w:jc w:val="center"/>
        <w:tblLayout w:type="fixed"/>
        <w:tblCellMar>
          <w:top w:w="0" w:type="dxa"/>
          <w:left w:w="108" w:type="dxa"/>
          <w:bottom w:w="0" w:type="dxa"/>
          <w:right w:w="108" w:type="dxa"/>
        </w:tblCellMar>
      </w:tblPr>
      <w:tblGrid>
        <w:gridCol w:w="1080"/>
        <w:gridCol w:w="4860"/>
        <w:gridCol w:w="1177"/>
        <w:gridCol w:w="1628"/>
      </w:tblGrid>
      <w:tr>
        <w:tblPrEx>
          <w:tblCellMar>
            <w:top w:w="0" w:type="dxa"/>
            <w:left w:w="108" w:type="dxa"/>
            <w:bottom w:w="0" w:type="dxa"/>
            <w:right w:w="108" w:type="dxa"/>
          </w:tblCellMar>
        </w:tblPrEx>
        <w:trPr>
          <w:trHeight w:val="45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b/>
                <w:bCs/>
                <w:color w:val="000000"/>
                <w:sz w:val="24"/>
                <w:szCs w:val="24"/>
              </w:rPr>
            </w:pPr>
            <w:r>
              <w:rPr>
                <w:rFonts w:ascii="仿宋_GB2312" w:hAnsi="宋体" w:eastAsia="仿宋_GB2312" w:cs="仿宋_GB2312"/>
                <w:b/>
                <w:bCs/>
                <w:color w:val="000000"/>
                <w:kern w:val="0"/>
                <w:sz w:val="24"/>
                <w:szCs w:val="24"/>
                <w:lang w:bidi="ar"/>
              </w:rPr>
              <w:t>序号</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b/>
                <w:bCs/>
                <w:color w:val="000000"/>
                <w:sz w:val="24"/>
                <w:szCs w:val="24"/>
              </w:rPr>
            </w:pPr>
            <w:r>
              <w:rPr>
                <w:rFonts w:ascii="仿宋_GB2312" w:hAnsi="宋体" w:eastAsia="仿宋_GB2312" w:cs="仿宋_GB2312"/>
                <w:b/>
                <w:bCs/>
                <w:color w:val="000000"/>
                <w:kern w:val="0"/>
                <w:sz w:val="24"/>
                <w:szCs w:val="24"/>
                <w:lang w:bidi="ar"/>
              </w:rPr>
              <w:t>指标</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b/>
                <w:bCs/>
                <w:color w:val="000000"/>
                <w:sz w:val="24"/>
                <w:szCs w:val="24"/>
              </w:rPr>
            </w:pPr>
            <w:r>
              <w:rPr>
                <w:rFonts w:ascii="仿宋_GB2312" w:hAnsi="宋体" w:eastAsia="仿宋_GB2312" w:cs="仿宋_GB2312"/>
                <w:b/>
                <w:bCs/>
                <w:color w:val="000000"/>
                <w:kern w:val="0"/>
                <w:sz w:val="24"/>
                <w:szCs w:val="24"/>
                <w:lang w:bidi="ar"/>
              </w:rPr>
              <w:t>单位</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b/>
                <w:bCs/>
                <w:color w:val="000000"/>
                <w:sz w:val="24"/>
                <w:szCs w:val="24"/>
              </w:rPr>
            </w:pPr>
            <w:r>
              <w:rPr>
                <w:rFonts w:ascii="仿宋_GB2312" w:hAnsi="宋体" w:eastAsia="仿宋_GB2312" w:cs="仿宋_GB2312"/>
                <w:b/>
                <w:bCs/>
                <w:color w:val="000000"/>
                <w:kern w:val="0"/>
                <w:sz w:val="24"/>
                <w:szCs w:val="24"/>
                <w:lang w:bidi="ar"/>
              </w:rPr>
              <w:t>2023年</w:t>
            </w:r>
          </w:p>
        </w:tc>
      </w:tr>
      <w:tr>
        <w:tblPrEx>
          <w:tblCellMar>
            <w:top w:w="0" w:type="dxa"/>
            <w:left w:w="108" w:type="dxa"/>
            <w:bottom w:w="0" w:type="dxa"/>
            <w:right w:w="108" w:type="dxa"/>
          </w:tblCellMar>
        </w:tblPrEx>
        <w:trPr>
          <w:trHeight w:val="454"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1</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接收国外留学生专业数</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个</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接收国外留学生人数</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接收国外访学教师人数</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2</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开发并被国外采用的职业教育标准数量</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个</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其中：专业标准</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个</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720" w:firstLineChars="30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课程标准</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个</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开发并被国外采用的职业教育资源数量</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个</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开发并被国外采用的职业教育装备数量</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个</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3</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在国外开办学校数</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所</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中职不填报</w:t>
            </w:r>
          </w:p>
        </w:tc>
      </w:tr>
      <w:tr>
        <w:tblPrEx>
          <w:tblCellMar>
            <w:top w:w="0" w:type="dxa"/>
            <w:left w:w="108" w:type="dxa"/>
            <w:bottom w:w="0" w:type="dxa"/>
            <w:right w:w="108" w:type="dxa"/>
          </w:tblCellMar>
        </w:tblPrEx>
        <w:trPr>
          <w:trHeight w:val="454"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其中：专业数量</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个</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中职不填报</w:t>
            </w:r>
          </w:p>
        </w:tc>
      </w:tr>
      <w:tr>
        <w:tblPrEx>
          <w:tblCellMar>
            <w:top w:w="0" w:type="dxa"/>
            <w:left w:w="108" w:type="dxa"/>
            <w:bottom w:w="0" w:type="dxa"/>
            <w:right w:w="108" w:type="dxa"/>
          </w:tblCellMar>
        </w:tblPrEx>
        <w:trPr>
          <w:trHeight w:val="454"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 xml:space="preserve">      在校生数</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中职不填报</w:t>
            </w:r>
          </w:p>
        </w:tc>
      </w:tr>
      <w:tr>
        <w:tblPrEx>
          <w:tblCellMar>
            <w:top w:w="0" w:type="dxa"/>
            <w:left w:w="108" w:type="dxa"/>
            <w:bottom w:w="0" w:type="dxa"/>
            <w:right w:w="108" w:type="dxa"/>
          </w:tblCellMar>
        </w:tblPrEx>
        <w:trPr>
          <w:trHeight w:val="454" w:hRule="atLeast"/>
          <w:jc w:val="center"/>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4</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中外合作办学专业数</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个</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其中：在校生数</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5</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专任教师赴国外指导和开展培训时间</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人日</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6</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在国外组织担任职务的专任教师数</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0</w:t>
            </w:r>
          </w:p>
        </w:tc>
      </w:tr>
      <w:tr>
        <w:tblPrEx>
          <w:tblCellMar>
            <w:top w:w="0" w:type="dxa"/>
            <w:left w:w="108" w:type="dxa"/>
            <w:bottom w:w="0" w:type="dxa"/>
            <w:right w:w="108" w:type="dxa"/>
          </w:tblCellMar>
        </w:tblPrEx>
        <w:trPr>
          <w:trHeight w:val="45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7</w:t>
            </w:r>
          </w:p>
        </w:tc>
        <w:tc>
          <w:tcPr>
            <w:tcW w:w="48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国外技能大赛获奖数量</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项</w:t>
            </w:r>
          </w:p>
        </w:tc>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0</w:t>
            </w:r>
          </w:p>
        </w:tc>
      </w:tr>
    </w:tbl>
    <w:p>
      <w:pPr>
        <w:rPr>
          <w:rFonts w:ascii="黑体" w:hAnsi="宋体" w:eastAsia="黑体" w:cs="黑体"/>
          <w:color w:val="000000"/>
          <w:kern w:val="0"/>
          <w:sz w:val="32"/>
          <w:szCs w:val="32"/>
          <w:lang w:bidi="ar"/>
        </w:rPr>
      </w:pPr>
      <w:r>
        <w:rPr>
          <w:rFonts w:ascii="黑体" w:hAnsi="宋体" w:eastAsia="黑体" w:cs="黑体"/>
          <w:color w:val="000000"/>
          <w:kern w:val="0"/>
          <w:sz w:val="32"/>
          <w:szCs w:val="32"/>
          <w:lang w:bidi="ar"/>
        </w:rPr>
        <w:br w:type="page"/>
      </w:r>
    </w:p>
    <w:p>
      <w:pPr>
        <w:pStyle w:val="3"/>
        <w:jc w:val="center"/>
        <w:rPr>
          <w:rFonts w:hint="eastAsia"/>
        </w:rPr>
      </w:pPr>
      <w:bookmarkStart w:id="135" w:name="_Toc19863"/>
      <w:r>
        <w:rPr>
          <w:rFonts w:hint="eastAsia"/>
        </w:rPr>
        <w:t>表6 落实政策表</w:t>
      </w:r>
      <w:bookmarkEnd w:id="135"/>
    </w:p>
    <w:tbl>
      <w:tblPr>
        <w:tblStyle w:val="18"/>
        <w:tblW w:w="8730" w:type="dxa"/>
        <w:tblInd w:w="0" w:type="dxa"/>
        <w:tblLayout w:type="fixed"/>
        <w:tblCellMar>
          <w:top w:w="0" w:type="dxa"/>
          <w:left w:w="108" w:type="dxa"/>
          <w:bottom w:w="0" w:type="dxa"/>
          <w:right w:w="108" w:type="dxa"/>
        </w:tblCellMar>
      </w:tblPr>
      <w:tblGrid>
        <w:gridCol w:w="1058"/>
        <w:gridCol w:w="5140"/>
        <w:gridCol w:w="1002"/>
        <w:gridCol w:w="1530"/>
      </w:tblGrid>
      <w:tr>
        <w:tblPrEx>
          <w:tblCellMar>
            <w:top w:w="0" w:type="dxa"/>
            <w:left w:w="108" w:type="dxa"/>
            <w:bottom w:w="0" w:type="dxa"/>
            <w:right w:w="108" w:type="dxa"/>
          </w:tblCellMar>
        </w:tblPrEx>
        <w:trPr>
          <w:trHeight w:val="454" w:hRule="atLeast"/>
        </w:trPr>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b/>
                <w:bCs/>
                <w:color w:val="000000"/>
                <w:sz w:val="24"/>
                <w:szCs w:val="24"/>
              </w:rPr>
            </w:pPr>
            <w:r>
              <w:rPr>
                <w:rFonts w:ascii="仿宋_GB2312" w:hAnsi="宋体" w:eastAsia="仿宋_GB2312" w:cs="仿宋_GB2312"/>
                <w:b/>
                <w:bCs/>
                <w:color w:val="000000"/>
                <w:kern w:val="0"/>
                <w:sz w:val="24"/>
                <w:szCs w:val="24"/>
                <w:lang w:bidi="ar"/>
              </w:rPr>
              <w:t>序号</w:t>
            </w:r>
          </w:p>
        </w:tc>
        <w:tc>
          <w:tcPr>
            <w:tcW w:w="5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b/>
                <w:bCs/>
                <w:color w:val="000000"/>
                <w:sz w:val="24"/>
                <w:szCs w:val="24"/>
              </w:rPr>
            </w:pPr>
            <w:r>
              <w:rPr>
                <w:rFonts w:ascii="仿宋_GB2312" w:hAnsi="宋体" w:eastAsia="仿宋_GB2312" w:cs="仿宋_GB2312"/>
                <w:b/>
                <w:bCs/>
                <w:color w:val="000000"/>
                <w:kern w:val="0"/>
                <w:sz w:val="24"/>
                <w:szCs w:val="24"/>
                <w:lang w:bidi="ar"/>
              </w:rPr>
              <w:t>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b/>
                <w:bCs/>
                <w:color w:val="000000"/>
                <w:sz w:val="24"/>
                <w:szCs w:val="24"/>
              </w:rPr>
            </w:pPr>
            <w:r>
              <w:rPr>
                <w:rFonts w:ascii="仿宋_GB2312" w:hAnsi="宋体" w:eastAsia="仿宋_GB2312" w:cs="仿宋_GB2312"/>
                <w:b/>
                <w:bCs/>
                <w:color w:val="000000"/>
                <w:kern w:val="0"/>
                <w:sz w:val="24"/>
                <w:szCs w:val="24"/>
                <w:lang w:bidi="ar"/>
              </w:rPr>
              <w:t>单位</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b/>
                <w:bCs/>
                <w:color w:val="000000"/>
                <w:sz w:val="24"/>
                <w:szCs w:val="24"/>
              </w:rPr>
            </w:pPr>
            <w:r>
              <w:rPr>
                <w:rFonts w:ascii="仿宋_GB2312" w:hAnsi="宋体" w:eastAsia="仿宋_GB2312" w:cs="仿宋_GB2312"/>
                <w:b/>
                <w:bCs/>
                <w:color w:val="000000"/>
                <w:kern w:val="0"/>
                <w:sz w:val="24"/>
                <w:szCs w:val="24"/>
                <w:lang w:bidi="ar"/>
              </w:rPr>
              <w:t>2023年</w:t>
            </w:r>
          </w:p>
        </w:tc>
      </w:tr>
      <w:tr>
        <w:tblPrEx>
          <w:tblCellMar>
            <w:top w:w="0" w:type="dxa"/>
            <w:left w:w="108" w:type="dxa"/>
            <w:bottom w:w="0" w:type="dxa"/>
            <w:right w:w="108" w:type="dxa"/>
          </w:tblCellMar>
        </w:tblPrEx>
        <w:trPr>
          <w:trHeight w:val="454" w:hRule="atLeast"/>
        </w:trPr>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1</w:t>
            </w:r>
          </w:p>
        </w:tc>
        <w:tc>
          <w:tcPr>
            <w:tcW w:w="5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全日制在校生人数*</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2823</w:t>
            </w:r>
          </w:p>
        </w:tc>
      </w:tr>
      <w:tr>
        <w:tblPrEx>
          <w:tblCellMar>
            <w:top w:w="0" w:type="dxa"/>
            <w:left w:w="108" w:type="dxa"/>
            <w:bottom w:w="0" w:type="dxa"/>
            <w:right w:w="108" w:type="dxa"/>
          </w:tblCellMar>
        </w:tblPrEx>
        <w:trPr>
          <w:trHeight w:val="454" w:hRule="atLeast"/>
        </w:trPr>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2</w:t>
            </w:r>
          </w:p>
        </w:tc>
        <w:tc>
          <w:tcPr>
            <w:tcW w:w="5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年生均财政拨款水平</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元</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3900</w:t>
            </w:r>
          </w:p>
        </w:tc>
      </w:tr>
      <w:tr>
        <w:tblPrEx>
          <w:tblCellMar>
            <w:top w:w="0" w:type="dxa"/>
            <w:left w:w="108" w:type="dxa"/>
            <w:bottom w:w="0" w:type="dxa"/>
            <w:right w:w="108" w:type="dxa"/>
          </w:tblCellMar>
        </w:tblPrEx>
        <w:trPr>
          <w:trHeight w:val="454" w:hRule="atLeast"/>
        </w:trPr>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3</w:t>
            </w:r>
          </w:p>
        </w:tc>
        <w:tc>
          <w:tcPr>
            <w:tcW w:w="5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年财政专项拨款</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万元</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hint="eastAsia" w:ascii="仿宋_GB2312" w:hAnsi="宋体" w:eastAsia="仿宋_GB2312" w:cs="仿宋_GB2312"/>
                <w:color w:val="000000"/>
                <w:sz w:val="24"/>
                <w:szCs w:val="24"/>
                <w:lang w:val="en-US" w:eastAsia="zh-CN"/>
              </w:rPr>
            </w:pPr>
            <w:r>
              <w:rPr>
                <w:rFonts w:hint="eastAsia" w:ascii="仿宋_GB2312" w:hAnsi="宋体" w:eastAsia="仿宋_GB2312" w:cs="仿宋_GB2312"/>
                <w:color w:val="000000"/>
                <w:sz w:val="24"/>
                <w:szCs w:val="24"/>
              </w:rPr>
              <w:t>30</w:t>
            </w:r>
            <w:r>
              <w:rPr>
                <w:rFonts w:hint="eastAsia" w:ascii="仿宋_GB2312" w:hAnsi="宋体" w:eastAsia="仿宋_GB2312" w:cs="仿宋_GB2312"/>
                <w:color w:val="000000"/>
                <w:sz w:val="24"/>
                <w:szCs w:val="24"/>
                <w:lang w:val="en-US" w:eastAsia="zh-CN"/>
              </w:rPr>
              <w:t>0</w:t>
            </w:r>
            <w:r>
              <w:rPr>
                <w:rFonts w:hint="eastAsia" w:ascii="仿宋_GB2312" w:hAnsi="宋体" w:eastAsia="仿宋_GB2312" w:cs="仿宋_GB2312"/>
                <w:color w:val="000000"/>
                <w:sz w:val="24"/>
                <w:szCs w:val="24"/>
              </w:rPr>
              <w:t>0.3</w:t>
            </w:r>
            <w:r>
              <w:rPr>
                <w:rFonts w:hint="eastAsia" w:ascii="仿宋_GB2312" w:hAnsi="宋体" w:eastAsia="仿宋_GB2312" w:cs="仿宋_GB2312"/>
                <w:color w:val="000000"/>
                <w:sz w:val="24"/>
                <w:szCs w:val="24"/>
                <w:lang w:val="en-US" w:eastAsia="zh-CN"/>
              </w:rPr>
              <w:t>0</w:t>
            </w:r>
          </w:p>
        </w:tc>
      </w:tr>
      <w:tr>
        <w:tblPrEx>
          <w:tblCellMar>
            <w:top w:w="0" w:type="dxa"/>
            <w:left w:w="108" w:type="dxa"/>
            <w:bottom w:w="0" w:type="dxa"/>
            <w:right w:w="108" w:type="dxa"/>
          </w:tblCellMar>
        </w:tblPrEx>
        <w:trPr>
          <w:trHeight w:val="454" w:hRule="atLeast"/>
        </w:trPr>
        <w:tc>
          <w:tcPr>
            <w:tcW w:w="10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4</w:t>
            </w:r>
          </w:p>
        </w:tc>
        <w:tc>
          <w:tcPr>
            <w:tcW w:w="5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教职员工额定编制数</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403</w:t>
            </w:r>
          </w:p>
        </w:tc>
      </w:tr>
      <w:tr>
        <w:tblPrEx>
          <w:tblCellMar>
            <w:top w:w="0" w:type="dxa"/>
            <w:left w:w="108" w:type="dxa"/>
            <w:bottom w:w="0" w:type="dxa"/>
            <w:right w:w="108" w:type="dxa"/>
          </w:tblCellMar>
        </w:tblPrEx>
        <w:trPr>
          <w:trHeight w:val="454" w:hRule="atLeast"/>
        </w:trPr>
        <w:tc>
          <w:tcPr>
            <w:tcW w:w="10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p>
        </w:tc>
        <w:tc>
          <w:tcPr>
            <w:tcW w:w="5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教职工总数</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hint="eastAsia" w:ascii="仿宋_GB2312" w:hAnsi="宋体" w:eastAsia="仿宋_GB2312" w:cs="仿宋_GB2312"/>
                <w:color w:val="000000"/>
                <w:sz w:val="24"/>
                <w:szCs w:val="24"/>
                <w:lang w:eastAsia="zh-CN"/>
              </w:rPr>
            </w:pPr>
            <w:r>
              <w:rPr>
                <w:rFonts w:hint="eastAsia" w:ascii="仿宋_GB2312" w:hAnsi="宋体" w:eastAsia="仿宋_GB2312" w:cs="仿宋_GB2312"/>
                <w:color w:val="000000"/>
                <w:sz w:val="24"/>
                <w:szCs w:val="24"/>
              </w:rPr>
              <w:t>26</w:t>
            </w:r>
            <w:r>
              <w:rPr>
                <w:rFonts w:hint="eastAsia" w:ascii="仿宋_GB2312" w:hAnsi="宋体" w:eastAsia="仿宋_GB2312" w:cs="仿宋_GB2312"/>
                <w:color w:val="000000"/>
                <w:sz w:val="24"/>
                <w:szCs w:val="24"/>
                <w:lang w:val="en-US" w:eastAsia="zh-CN"/>
              </w:rPr>
              <w:t>5</w:t>
            </w:r>
          </w:p>
        </w:tc>
      </w:tr>
      <w:tr>
        <w:tblPrEx>
          <w:tblCellMar>
            <w:top w:w="0" w:type="dxa"/>
            <w:left w:w="108" w:type="dxa"/>
            <w:bottom w:w="0" w:type="dxa"/>
            <w:right w:w="108" w:type="dxa"/>
          </w:tblCellMar>
        </w:tblPrEx>
        <w:trPr>
          <w:trHeight w:val="454" w:hRule="atLeast"/>
        </w:trPr>
        <w:tc>
          <w:tcPr>
            <w:tcW w:w="10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p>
        </w:tc>
        <w:tc>
          <w:tcPr>
            <w:tcW w:w="5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其中：专任教师总数</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hint="default" w:ascii="仿宋_GB2312" w:hAnsi="宋体" w:eastAsia="仿宋_GB2312" w:cs="仿宋_GB2312"/>
                <w:color w:val="000000"/>
                <w:sz w:val="24"/>
                <w:szCs w:val="24"/>
                <w:lang w:val="en-US" w:eastAsia="zh-CN"/>
              </w:rPr>
            </w:pPr>
            <w:r>
              <w:rPr>
                <w:rFonts w:hint="eastAsia" w:ascii="仿宋_GB2312" w:hAnsi="宋体" w:eastAsia="仿宋_GB2312" w:cs="仿宋_GB2312"/>
                <w:color w:val="000000"/>
                <w:sz w:val="24"/>
                <w:szCs w:val="24"/>
              </w:rPr>
              <w:t>1</w:t>
            </w:r>
            <w:r>
              <w:rPr>
                <w:rFonts w:hint="eastAsia" w:ascii="仿宋_GB2312" w:hAnsi="宋体" w:eastAsia="仿宋_GB2312" w:cs="仿宋_GB2312"/>
                <w:color w:val="000000"/>
                <w:sz w:val="24"/>
                <w:szCs w:val="24"/>
                <w:lang w:val="en-US" w:eastAsia="zh-CN"/>
              </w:rPr>
              <w:t>97</w:t>
            </w:r>
          </w:p>
        </w:tc>
      </w:tr>
      <w:tr>
        <w:tblPrEx>
          <w:tblCellMar>
            <w:top w:w="0" w:type="dxa"/>
            <w:left w:w="108" w:type="dxa"/>
            <w:bottom w:w="0" w:type="dxa"/>
            <w:right w:w="108" w:type="dxa"/>
          </w:tblCellMar>
        </w:tblPrEx>
        <w:trPr>
          <w:trHeight w:val="454" w:hRule="atLeast"/>
        </w:trPr>
        <w:tc>
          <w:tcPr>
            <w:tcW w:w="10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p>
        </w:tc>
        <w:tc>
          <w:tcPr>
            <w:tcW w:w="5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Style w:val="22"/>
                <w:rFonts w:hAnsi="宋体"/>
                <w:sz w:val="24"/>
                <w:szCs w:val="24"/>
                <w:lang w:bidi="ar"/>
              </w:rPr>
              <w:t xml:space="preserve">      </w:t>
            </w:r>
            <w:r>
              <w:rPr>
                <w:rStyle w:val="23"/>
                <w:rFonts w:hAnsi="宋体"/>
                <w:sz w:val="24"/>
                <w:szCs w:val="24"/>
                <w:lang w:bidi="ar"/>
              </w:rPr>
              <w:t>思政课教师数</w:t>
            </w:r>
            <w:r>
              <w:rPr>
                <w:rStyle w:val="22"/>
                <w:rFonts w:hAnsi="宋体"/>
                <w:sz w:val="24"/>
                <w:szCs w:val="24"/>
                <w:lang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10</w:t>
            </w:r>
          </w:p>
        </w:tc>
      </w:tr>
      <w:tr>
        <w:tblPrEx>
          <w:tblCellMar>
            <w:top w:w="0" w:type="dxa"/>
            <w:left w:w="108" w:type="dxa"/>
            <w:bottom w:w="0" w:type="dxa"/>
            <w:right w:w="108" w:type="dxa"/>
          </w:tblCellMar>
        </w:tblPrEx>
        <w:trPr>
          <w:trHeight w:val="454" w:hRule="atLeast"/>
        </w:trPr>
        <w:tc>
          <w:tcPr>
            <w:tcW w:w="10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p>
        </w:tc>
        <w:tc>
          <w:tcPr>
            <w:tcW w:w="5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Style w:val="22"/>
                <w:rFonts w:hAnsi="宋体"/>
                <w:sz w:val="24"/>
                <w:szCs w:val="24"/>
                <w:lang w:bidi="ar"/>
              </w:rPr>
              <w:t xml:space="preserve">      </w:t>
            </w:r>
            <w:r>
              <w:rPr>
                <w:rStyle w:val="23"/>
                <w:rFonts w:hAnsi="宋体"/>
                <w:sz w:val="24"/>
                <w:szCs w:val="24"/>
                <w:lang w:bidi="ar"/>
              </w:rPr>
              <w:t>体育课专任教师数</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6</w:t>
            </w:r>
          </w:p>
        </w:tc>
      </w:tr>
      <w:tr>
        <w:tblPrEx>
          <w:tblCellMar>
            <w:top w:w="0" w:type="dxa"/>
            <w:left w:w="108" w:type="dxa"/>
            <w:bottom w:w="0" w:type="dxa"/>
            <w:right w:w="108" w:type="dxa"/>
          </w:tblCellMar>
        </w:tblPrEx>
        <w:trPr>
          <w:trHeight w:val="454" w:hRule="atLeast"/>
        </w:trPr>
        <w:tc>
          <w:tcPr>
            <w:tcW w:w="10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p>
        </w:tc>
        <w:tc>
          <w:tcPr>
            <w:tcW w:w="5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Style w:val="22"/>
                <w:rFonts w:hAnsi="宋体"/>
                <w:sz w:val="24"/>
                <w:szCs w:val="24"/>
                <w:lang w:bidi="ar"/>
              </w:rPr>
              <w:t xml:space="preserve">      </w:t>
            </w:r>
            <w:r>
              <w:rPr>
                <w:rStyle w:val="23"/>
                <w:rFonts w:hAnsi="宋体"/>
                <w:sz w:val="24"/>
                <w:szCs w:val="24"/>
                <w:lang w:bidi="ar"/>
              </w:rPr>
              <w:t>美育课专任教师数</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5</w:t>
            </w:r>
          </w:p>
        </w:tc>
      </w:tr>
      <w:tr>
        <w:tblPrEx>
          <w:tblCellMar>
            <w:top w:w="0" w:type="dxa"/>
            <w:left w:w="108" w:type="dxa"/>
            <w:bottom w:w="0" w:type="dxa"/>
            <w:right w:w="108" w:type="dxa"/>
          </w:tblCellMar>
        </w:tblPrEx>
        <w:trPr>
          <w:trHeight w:val="454" w:hRule="atLeast"/>
        </w:trPr>
        <w:tc>
          <w:tcPr>
            <w:tcW w:w="10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p>
        </w:tc>
        <w:tc>
          <w:tcPr>
            <w:tcW w:w="5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Style w:val="22"/>
                <w:rFonts w:hAnsi="宋体"/>
                <w:sz w:val="24"/>
                <w:szCs w:val="24"/>
                <w:lang w:bidi="ar"/>
              </w:rPr>
              <w:t xml:space="preserve">      </w:t>
            </w:r>
            <w:r>
              <w:rPr>
                <w:rStyle w:val="23"/>
                <w:rFonts w:hAnsi="宋体"/>
                <w:sz w:val="24"/>
                <w:szCs w:val="24"/>
                <w:lang w:bidi="ar"/>
              </w:rPr>
              <w:t>辅导员人数</w:t>
            </w:r>
            <w:r>
              <w:rPr>
                <w:rStyle w:val="22"/>
                <w:rFonts w:hAnsi="宋体"/>
                <w:sz w:val="24"/>
                <w:szCs w:val="24"/>
                <w:lang w:bidi="ar"/>
              </w:rPr>
              <w:t>*</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高职填报</w:t>
            </w:r>
          </w:p>
        </w:tc>
      </w:tr>
      <w:tr>
        <w:tblPrEx>
          <w:tblCellMar>
            <w:top w:w="0" w:type="dxa"/>
            <w:left w:w="108" w:type="dxa"/>
            <w:bottom w:w="0" w:type="dxa"/>
            <w:right w:w="108" w:type="dxa"/>
          </w:tblCellMar>
        </w:tblPrEx>
        <w:trPr>
          <w:trHeight w:val="454" w:hRule="atLeast"/>
        </w:trPr>
        <w:tc>
          <w:tcPr>
            <w:tcW w:w="10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p>
        </w:tc>
        <w:tc>
          <w:tcPr>
            <w:tcW w:w="5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Style w:val="22"/>
                <w:rFonts w:hAnsi="宋体"/>
                <w:sz w:val="24"/>
                <w:szCs w:val="24"/>
                <w:lang w:bidi="ar"/>
              </w:rPr>
              <w:t xml:space="preserve">      </w:t>
            </w:r>
            <w:r>
              <w:rPr>
                <w:rStyle w:val="23"/>
                <w:rFonts w:hAnsi="宋体"/>
                <w:sz w:val="24"/>
                <w:szCs w:val="24"/>
                <w:lang w:bidi="ar"/>
              </w:rPr>
              <w:t>班主任人数</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48</w:t>
            </w:r>
          </w:p>
        </w:tc>
      </w:tr>
      <w:tr>
        <w:tblPrEx>
          <w:tblCellMar>
            <w:top w:w="0" w:type="dxa"/>
            <w:left w:w="108" w:type="dxa"/>
            <w:bottom w:w="0" w:type="dxa"/>
            <w:right w:w="108" w:type="dxa"/>
          </w:tblCellMar>
        </w:tblPrEx>
        <w:trPr>
          <w:trHeight w:val="454" w:hRule="atLeast"/>
        </w:trPr>
        <w:tc>
          <w:tcPr>
            <w:tcW w:w="10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5</w:t>
            </w:r>
          </w:p>
        </w:tc>
        <w:tc>
          <w:tcPr>
            <w:tcW w:w="5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参加国家学生体质健康标准测试人数</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2518</w:t>
            </w:r>
          </w:p>
        </w:tc>
      </w:tr>
      <w:tr>
        <w:tblPrEx>
          <w:tblCellMar>
            <w:top w:w="0" w:type="dxa"/>
            <w:left w:w="108" w:type="dxa"/>
            <w:bottom w:w="0" w:type="dxa"/>
            <w:right w:w="108" w:type="dxa"/>
          </w:tblCellMar>
        </w:tblPrEx>
        <w:trPr>
          <w:trHeight w:val="454" w:hRule="atLeast"/>
        </w:trPr>
        <w:tc>
          <w:tcPr>
            <w:tcW w:w="10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p>
        </w:tc>
        <w:tc>
          <w:tcPr>
            <w:tcW w:w="5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其中：学生体质测评合格率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hint="eastAsia" w:ascii="仿宋_GB2312" w:hAnsi="宋体" w:eastAsia="仿宋_GB2312" w:cs="仿宋_GB2312"/>
                <w:color w:val="000000"/>
                <w:sz w:val="24"/>
                <w:szCs w:val="24"/>
                <w:lang w:val="en-US" w:eastAsia="zh-CN"/>
              </w:rPr>
            </w:pPr>
            <w:r>
              <w:rPr>
                <w:rFonts w:hint="eastAsia" w:ascii="仿宋_GB2312" w:hAnsi="宋体" w:eastAsia="仿宋_GB2312" w:cs="仿宋_GB2312"/>
                <w:color w:val="000000"/>
                <w:sz w:val="24"/>
                <w:szCs w:val="24"/>
              </w:rPr>
              <w:t>95.4</w:t>
            </w:r>
            <w:r>
              <w:rPr>
                <w:rFonts w:hint="eastAsia" w:ascii="仿宋_GB2312" w:hAnsi="宋体" w:eastAsia="仿宋_GB2312" w:cs="仿宋_GB2312"/>
                <w:color w:val="000000"/>
                <w:sz w:val="24"/>
                <w:szCs w:val="24"/>
                <w:lang w:val="en-US" w:eastAsia="zh-CN"/>
              </w:rPr>
              <w:t>0</w:t>
            </w:r>
          </w:p>
        </w:tc>
      </w:tr>
      <w:tr>
        <w:tblPrEx>
          <w:tblCellMar>
            <w:top w:w="0" w:type="dxa"/>
            <w:left w:w="108" w:type="dxa"/>
            <w:bottom w:w="0" w:type="dxa"/>
            <w:right w:w="108" w:type="dxa"/>
          </w:tblCellMar>
        </w:tblPrEx>
        <w:trPr>
          <w:trHeight w:val="454" w:hRule="atLeast"/>
        </w:trPr>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6</w:t>
            </w:r>
          </w:p>
        </w:tc>
        <w:tc>
          <w:tcPr>
            <w:tcW w:w="5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职业技能等级证书（含职业资格证书）获取人数</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1169</w:t>
            </w:r>
          </w:p>
        </w:tc>
      </w:tr>
      <w:tr>
        <w:tblPrEx>
          <w:tblCellMar>
            <w:top w:w="0" w:type="dxa"/>
            <w:left w:w="108" w:type="dxa"/>
            <w:bottom w:w="0" w:type="dxa"/>
            <w:right w:w="108" w:type="dxa"/>
          </w:tblCellMar>
        </w:tblPrEx>
        <w:trPr>
          <w:trHeight w:val="454" w:hRule="atLeast"/>
        </w:trPr>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7</w:t>
            </w:r>
          </w:p>
        </w:tc>
        <w:tc>
          <w:tcPr>
            <w:tcW w:w="5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企业提供的校内实践教学设备值</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万元</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0</w:t>
            </w:r>
          </w:p>
        </w:tc>
      </w:tr>
      <w:tr>
        <w:tblPrEx>
          <w:tblCellMar>
            <w:top w:w="0" w:type="dxa"/>
            <w:left w:w="108" w:type="dxa"/>
            <w:bottom w:w="0" w:type="dxa"/>
            <w:right w:w="108" w:type="dxa"/>
          </w:tblCellMar>
        </w:tblPrEx>
        <w:trPr>
          <w:trHeight w:val="454" w:hRule="atLeast"/>
        </w:trPr>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8</w:t>
            </w:r>
          </w:p>
        </w:tc>
        <w:tc>
          <w:tcPr>
            <w:tcW w:w="5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与企业共建开放型区域产教融合实践中心</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个</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1</w:t>
            </w:r>
          </w:p>
        </w:tc>
      </w:tr>
      <w:tr>
        <w:tblPrEx>
          <w:tblCellMar>
            <w:top w:w="0" w:type="dxa"/>
            <w:left w:w="108" w:type="dxa"/>
            <w:bottom w:w="0" w:type="dxa"/>
            <w:right w:w="108" w:type="dxa"/>
          </w:tblCellMar>
        </w:tblPrEx>
        <w:trPr>
          <w:trHeight w:val="454" w:hRule="atLeast"/>
        </w:trPr>
        <w:tc>
          <w:tcPr>
            <w:tcW w:w="10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9</w:t>
            </w:r>
          </w:p>
        </w:tc>
        <w:tc>
          <w:tcPr>
            <w:tcW w:w="5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聘请行业导师人数*</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20</w:t>
            </w:r>
          </w:p>
        </w:tc>
      </w:tr>
      <w:tr>
        <w:tblPrEx>
          <w:tblCellMar>
            <w:top w:w="0" w:type="dxa"/>
            <w:left w:w="108" w:type="dxa"/>
            <w:bottom w:w="0" w:type="dxa"/>
            <w:right w:w="108" w:type="dxa"/>
          </w:tblCellMar>
        </w:tblPrEx>
        <w:trPr>
          <w:trHeight w:val="454" w:hRule="atLeast"/>
        </w:trPr>
        <w:tc>
          <w:tcPr>
            <w:tcW w:w="10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p>
        </w:tc>
        <w:tc>
          <w:tcPr>
            <w:tcW w:w="5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其中：聘请大国工匠、劳动模范人数</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人</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0</w:t>
            </w:r>
          </w:p>
        </w:tc>
      </w:tr>
      <w:tr>
        <w:tblPrEx>
          <w:tblCellMar>
            <w:top w:w="0" w:type="dxa"/>
            <w:left w:w="108" w:type="dxa"/>
            <w:bottom w:w="0" w:type="dxa"/>
            <w:right w:w="108" w:type="dxa"/>
          </w:tblCellMar>
        </w:tblPrEx>
        <w:trPr>
          <w:trHeight w:val="454" w:hRule="atLeast"/>
        </w:trPr>
        <w:tc>
          <w:tcPr>
            <w:tcW w:w="10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p>
        </w:tc>
        <w:tc>
          <w:tcPr>
            <w:tcW w:w="5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行业导师年课时总量*</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课时</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hint="eastAsia" w:ascii="仿宋_GB2312" w:hAnsi="宋体" w:eastAsia="仿宋_GB2312" w:cs="仿宋_GB2312"/>
                <w:color w:val="000000"/>
                <w:sz w:val="24"/>
                <w:szCs w:val="24"/>
                <w:lang w:val="en-US" w:eastAsia="zh-CN"/>
              </w:rPr>
            </w:pPr>
            <w:r>
              <w:rPr>
                <w:rFonts w:hint="eastAsia" w:ascii="仿宋_GB2312" w:hAnsi="宋体" w:eastAsia="仿宋_GB2312" w:cs="仿宋_GB2312"/>
                <w:color w:val="000000"/>
                <w:sz w:val="24"/>
                <w:szCs w:val="24"/>
              </w:rPr>
              <w:t>1565.8</w:t>
            </w:r>
            <w:r>
              <w:rPr>
                <w:rFonts w:hint="eastAsia" w:ascii="仿宋_GB2312" w:hAnsi="宋体" w:eastAsia="仿宋_GB2312" w:cs="仿宋_GB2312"/>
                <w:color w:val="000000"/>
                <w:sz w:val="24"/>
                <w:szCs w:val="24"/>
                <w:lang w:val="en-US" w:eastAsia="zh-CN"/>
              </w:rPr>
              <w:t>0</w:t>
            </w:r>
          </w:p>
        </w:tc>
      </w:tr>
      <w:tr>
        <w:tblPrEx>
          <w:tblCellMar>
            <w:top w:w="0" w:type="dxa"/>
            <w:left w:w="108" w:type="dxa"/>
            <w:bottom w:w="0" w:type="dxa"/>
            <w:right w:w="108" w:type="dxa"/>
          </w:tblCellMar>
        </w:tblPrEx>
        <w:trPr>
          <w:trHeight w:val="454" w:hRule="atLeast"/>
        </w:trPr>
        <w:tc>
          <w:tcPr>
            <w:tcW w:w="10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p>
        </w:tc>
        <w:tc>
          <w:tcPr>
            <w:tcW w:w="5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年支付行业导师课酬</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万元</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8.26</w:t>
            </w:r>
          </w:p>
        </w:tc>
      </w:tr>
      <w:tr>
        <w:tblPrEx>
          <w:tblCellMar>
            <w:top w:w="0" w:type="dxa"/>
            <w:left w:w="108" w:type="dxa"/>
            <w:bottom w:w="0" w:type="dxa"/>
            <w:right w:w="108" w:type="dxa"/>
          </w:tblCellMar>
        </w:tblPrEx>
        <w:trPr>
          <w:trHeight w:val="454" w:hRule="atLeast"/>
        </w:trPr>
        <w:tc>
          <w:tcPr>
            <w:tcW w:w="10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10</w:t>
            </w:r>
          </w:p>
        </w:tc>
        <w:tc>
          <w:tcPr>
            <w:tcW w:w="5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年实习专项经费</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万元</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44.62</w:t>
            </w:r>
          </w:p>
        </w:tc>
      </w:tr>
      <w:tr>
        <w:tblPrEx>
          <w:tblCellMar>
            <w:top w:w="0" w:type="dxa"/>
            <w:left w:w="108" w:type="dxa"/>
            <w:bottom w:w="0" w:type="dxa"/>
            <w:right w:w="108" w:type="dxa"/>
          </w:tblCellMar>
        </w:tblPrEx>
        <w:trPr>
          <w:trHeight w:val="454" w:hRule="atLeast"/>
        </w:trPr>
        <w:tc>
          <w:tcPr>
            <w:tcW w:w="10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p>
        </w:tc>
        <w:tc>
          <w:tcPr>
            <w:tcW w:w="5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其中：年实习责任保险经费</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textAlignment w:val="center"/>
              <w:rPr>
                <w:rFonts w:ascii="仿宋_GB2312" w:hAnsi="宋体" w:eastAsia="仿宋_GB2312" w:cs="仿宋_GB2312"/>
                <w:color w:val="000000"/>
                <w:sz w:val="24"/>
                <w:szCs w:val="24"/>
              </w:rPr>
            </w:pPr>
            <w:r>
              <w:rPr>
                <w:rFonts w:ascii="仿宋_GB2312" w:hAnsi="宋体" w:eastAsia="仿宋_GB2312" w:cs="仿宋_GB2312"/>
                <w:color w:val="000000"/>
                <w:kern w:val="0"/>
                <w:sz w:val="24"/>
                <w:szCs w:val="24"/>
                <w:lang w:bidi="ar"/>
              </w:rPr>
              <w:t>万元</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jc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szCs w:val="24"/>
              </w:rPr>
              <w:t>9.08</w:t>
            </w:r>
          </w:p>
        </w:tc>
      </w:tr>
    </w:tbl>
    <w:p>
      <w:pPr>
        <w:pStyle w:val="5"/>
        <w:ind w:firstLine="640"/>
      </w:pPr>
    </w:p>
    <w:p>
      <w:pPr>
        <w:pStyle w:val="5"/>
        <w:ind w:left="0" w:leftChars="0" w:firstLine="0" w:firstLineChars="0"/>
        <w:rPr>
          <w:rFonts w:hint="eastAsia" w:eastAsia="仿宋"/>
          <w:lang w:eastAsia="zh-CN"/>
        </w:rPr>
      </w:pPr>
    </w:p>
    <w:sectPr>
      <w:footerReference r:id="rId6" w:type="default"/>
      <w:pgSz w:w="11906" w:h="16838"/>
      <w:pgMar w:top="1440" w:right="1531" w:bottom="1440" w:left="1531" w:header="851" w:footer="992" w:gutter="0"/>
      <w:pgBorders>
        <w:top w:val="none" w:sz="0" w:space="0"/>
        <w:left w:val="none" w:sz="0" w:space="0"/>
        <w:bottom w:val="none" w:sz="0" w:space="0"/>
        <w:right w:val="none" w:sz="0" w:space="0"/>
      </w:pgBorder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BEE2F98-0B04-4F46-B584-99243FB73A2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9852DEA4-AFDA-49F0-A02F-560183502DB7}"/>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6F9893AC-E90E-4B02-B346-05CC845B6CAE}"/>
  </w:font>
  <w:font w:name="仿宋">
    <w:panose1 w:val="02010609060101010101"/>
    <w:charset w:val="86"/>
    <w:family w:val="modern"/>
    <w:pitch w:val="default"/>
    <w:sig w:usb0="800002BF" w:usb1="38CF7CFA" w:usb2="00000016" w:usb3="00000000" w:csb0="00040001" w:csb1="00000000"/>
    <w:embedRegular r:id="rId4" w:fontKey="{BC1E259D-C0BF-4794-8409-5B5A571CB22F}"/>
  </w:font>
  <w:font w:name="楷体">
    <w:panose1 w:val="02010609060101010101"/>
    <w:charset w:val="86"/>
    <w:family w:val="modern"/>
    <w:pitch w:val="default"/>
    <w:sig w:usb0="800002BF" w:usb1="38CF7CFA" w:usb2="00000016" w:usb3="00000000" w:csb0="00040001" w:csb1="00000000"/>
    <w:embedRegular r:id="rId5" w:fontKey="{DFA34715-4401-4F26-AFCC-BAEFF3426D75}"/>
  </w:font>
  <w:font w:name="华文行楷">
    <w:panose1 w:val="02010800040101010101"/>
    <w:charset w:val="86"/>
    <w:family w:val="auto"/>
    <w:pitch w:val="default"/>
    <w:sig w:usb0="00000001" w:usb1="080F0000" w:usb2="00000000" w:usb3="00000000" w:csb0="00040000" w:csb1="00000000"/>
    <w:embedRegular r:id="rId6" w:fontKey="{EED81EF2-041B-48F2-9609-8F94CD538C91}"/>
  </w:font>
  <w:font w:name="华文新魏">
    <w:panose1 w:val="02010800040101010101"/>
    <w:charset w:val="86"/>
    <w:family w:val="auto"/>
    <w:pitch w:val="default"/>
    <w:sig w:usb0="00000001" w:usb1="080F0000" w:usb2="00000000" w:usb3="00000000" w:csb0="00040000" w:csb1="00000000"/>
    <w:embedRegular r:id="rId7" w:fontKey="{4CD3CDDF-E8A2-45A7-BE78-B73150E88481}"/>
  </w:font>
  <w:font w:name="等线">
    <w:panose1 w:val="02010600030101010101"/>
    <w:charset w:val="86"/>
    <w:family w:val="auto"/>
    <w:pitch w:val="default"/>
    <w:sig w:usb0="A00002BF" w:usb1="38CF7CFA" w:usb2="00000016" w:usb3="00000000" w:csb0="0004000F" w:csb1="00000000"/>
    <w:embedRegular r:id="rId8" w:fontKey="{B63FA790-8F6C-456A-8E20-EF5F7F3B4076}"/>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embedRegular r:id="rId9" w:fontKey="{A3C3B138-813A-4E4F-9EDA-77D01D743A7A}"/>
  </w:font>
  <w:font w:name="方正小标宋简体">
    <w:panose1 w:val="02000000000000000000"/>
    <w:charset w:val="86"/>
    <w:family w:val="script"/>
    <w:pitch w:val="default"/>
    <w:sig w:usb0="00000001" w:usb1="08000000" w:usb2="00000000" w:usb3="00000000" w:csb0="00040000" w:csb1="00000000"/>
    <w:embedRegular r:id="rId10" w:fontKey="{5B642BFE-81AC-40E5-AF66-CD12808C237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pBdr>
        <w:bottom w:val="none" w:color="auto" w:sz="0" w:space="0"/>
      </w:pBdr>
      <w:jc w:val="center"/>
    </w:pPr>
    <w:r>
      <w:drawing>
        <wp:anchor distT="0" distB="0" distL="114300" distR="114300" simplePos="0" relativeHeight="251659264" behindDoc="0" locked="0" layoutInCell="1" allowOverlap="1">
          <wp:simplePos x="0" y="0"/>
          <wp:positionH relativeFrom="column">
            <wp:posOffset>2740660</wp:posOffset>
          </wp:positionH>
          <wp:positionV relativeFrom="paragraph">
            <wp:posOffset>81280</wp:posOffset>
          </wp:positionV>
          <wp:extent cx="529590" cy="529590"/>
          <wp:effectExtent l="0" t="0" r="3810" b="3810"/>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stretch>
                    <a:fillRect/>
                  </a:stretch>
                </pic:blipFill>
                <pic:spPr>
                  <a:xfrm>
                    <a:off x="0" y="0"/>
                    <a:ext cx="529590" cy="529590"/>
                  </a:xfrm>
                  <a:prstGeom prst="rect">
                    <a:avLst/>
                  </a:prstGeom>
                  <a:noFill/>
                  <a:ln>
                    <a:noFill/>
                  </a:ln>
                </pic:spPr>
              </pic:pic>
            </a:graphicData>
          </a:graphic>
        </wp:anchor>
      </w:drawing>
    </w:r>
    <w:r>
      <w:rPr>
        <w:rFonts w:hint="eastAsia"/>
      </w:rPr>
      <w:t xml:space="preserve">                             </w:t>
    </w:r>
  </w:p>
  <w:p>
    <w:pPr>
      <w:widowControl/>
      <w:pBdr>
        <w:bottom w:val="none" w:color="auto" w:sz="0" w:space="0"/>
      </w:pBdr>
      <w:jc w:val="center"/>
    </w:pPr>
    <w:r>
      <w:rPr>
        <w:rFonts w:hint="eastAsia"/>
      </w:rPr>
      <w:t xml:space="preserve">                                                  </w:t>
    </w:r>
    <w:r>
      <w:rPr>
        <w:rFonts w:ascii="华文行楷" w:hAnsi="华文行楷" w:eastAsia="华文行楷" w:cs="华文行楷"/>
        <w:color w:val="A20000"/>
        <w:kern w:val="0"/>
        <w:sz w:val="32"/>
        <w:szCs w:val="32"/>
        <w:lang w:bidi="ar"/>
      </w:rPr>
      <w:t>山东省莱阳卫生学校</w:t>
    </w:r>
  </w:p>
  <w:p>
    <w:pPr>
      <w:widowControl/>
      <w:pBdr>
        <w:bottom w:val="none" w:color="auto" w:sz="0" w:space="0"/>
      </w:pBdr>
      <w:ind w:firstLine="5400" w:firstLineChars="3000"/>
      <w:jc w:val="left"/>
      <w:rPr>
        <w:sz w:val="18"/>
        <w:szCs w:val="18"/>
      </w:rPr>
    </w:pPr>
    <w:r>
      <w:rPr>
        <w:rFonts w:ascii="Times New Roman" w:hAnsi="Times New Roman" w:eastAsia="宋体" w:cs="Times New Roman"/>
        <w:i/>
        <w:iCs/>
        <w:color w:val="000000"/>
        <w:kern w:val="0"/>
        <w:sz w:val="18"/>
        <w:szCs w:val="18"/>
        <w:lang w:bidi="ar"/>
      </w:rPr>
      <w:t>SHANDONG LAIYANG HEALTH SCHOOL</w:t>
    </w:r>
  </w:p>
  <w:p>
    <w:pPr>
      <w:pStyle w:val="11"/>
      <w:pBdr>
        <w:bottom w:val="none" w:color="auto" w:sz="0" w:space="1"/>
      </w:pBdr>
    </w:pPr>
    <w:r>
      <w:rPr>
        <w:rFonts w:hint="eastAsia"/>
        <w:u w:val="thick"/>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pBdr>
        <w:bottom w:val="none" w:color="auto" w:sz="0" w:space="0"/>
      </w:pBdr>
      <w:jc w:val="center"/>
    </w:pPr>
    <w:r>
      <w:rPr>
        <w:rFonts w:hint="eastAsia"/>
      </w:rPr>
      <w:t xml:space="preserve">               </w:t>
    </w:r>
    <w:r>
      <w:rPr>
        <w:rFonts w:hint="eastAsia"/>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60D6F2"/>
    <w:multiLevelType w:val="singleLevel"/>
    <w:tmpl w:val="8860D6F2"/>
    <w:lvl w:ilvl="0" w:tentative="0">
      <w:start w:val="6"/>
      <w:numFmt w:val="decimal"/>
      <w:lvlText w:val="%1."/>
      <w:lvlJc w:val="left"/>
      <w:pPr>
        <w:tabs>
          <w:tab w:val="left" w:pos="312"/>
        </w:tabs>
      </w:pPr>
    </w:lvl>
  </w:abstractNum>
  <w:abstractNum w:abstractNumId="1">
    <w:nsid w:val="8E95303F"/>
    <w:multiLevelType w:val="singleLevel"/>
    <w:tmpl w:val="8E95303F"/>
    <w:lvl w:ilvl="0" w:tentative="0">
      <w:start w:val="3"/>
      <w:numFmt w:val="decimal"/>
      <w:lvlText w:val="%1."/>
      <w:lvlJc w:val="left"/>
      <w:pPr>
        <w:tabs>
          <w:tab w:val="left" w:pos="312"/>
        </w:tabs>
      </w:pPr>
    </w:lvl>
  </w:abstractNum>
  <w:abstractNum w:abstractNumId="2">
    <w:nsid w:val="77A39DEF"/>
    <w:multiLevelType w:val="singleLevel"/>
    <w:tmpl w:val="77A39DEF"/>
    <w:lvl w:ilvl="0" w:tentative="0">
      <w:start w:val="2"/>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mZmQ0ZDg1ZGFkMDQxYzRjZDY3NTM4NmUxNDk5YzIifQ=="/>
  </w:docVars>
  <w:rsids>
    <w:rsidRoot w:val="00172A27"/>
    <w:rsid w:val="000260B2"/>
    <w:rsid w:val="000D724D"/>
    <w:rsid w:val="003B7B36"/>
    <w:rsid w:val="004535F6"/>
    <w:rsid w:val="005446CA"/>
    <w:rsid w:val="0058523E"/>
    <w:rsid w:val="0060646A"/>
    <w:rsid w:val="00634ED9"/>
    <w:rsid w:val="00655DF0"/>
    <w:rsid w:val="006F62BD"/>
    <w:rsid w:val="007F6119"/>
    <w:rsid w:val="008C75DC"/>
    <w:rsid w:val="00A0198D"/>
    <w:rsid w:val="00C100C9"/>
    <w:rsid w:val="00CE79E6"/>
    <w:rsid w:val="00D1473F"/>
    <w:rsid w:val="00E07626"/>
    <w:rsid w:val="00E14769"/>
    <w:rsid w:val="00F42DD8"/>
    <w:rsid w:val="00FA2743"/>
    <w:rsid w:val="01036D95"/>
    <w:rsid w:val="0132783D"/>
    <w:rsid w:val="01882081"/>
    <w:rsid w:val="01981D96"/>
    <w:rsid w:val="01A56261"/>
    <w:rsid w:val="01CC5EE4"/>
    <w:rsid w:val="01EC0334"/>
    <w:rsid w:val="020E6FF9"/>
    <w:rsid w:val="023D413A"/>
    <w:rsid w:val="028E381F"/>
    <w:rsid w:val="02985C5F"/>
    <w:rsid w:val="02990FD0"/>
    <w:rsid w:val="02B04EBD"/>
    <w:rsid w:val="02C44E0D"/>
    <w:rsid w:val="02D01B56"/>
    <w:rsid w:val="02EF6C41"/>
    <w:rsid w:val="03174F3D"/>
    <w:rsid w:val="031D6485"/>
    <w:rsid w:val="032E6375"/>
    <w:rsid w:val="036A3D6F"/>
    <w:rsid w:val="03AE6494"/>
    <w:rsid w:val="03C74BB5"/>
    <w:rsid w:val="03DE309B"/>
    <w:rsid w:val="04526F1F"/>
    <w:rsid w:val="04730898"/>
    <w:rsid w:val="04E71044"/>
    <w:rsid w:val="05237BC9"/>
    <w:rsid w:val="053578FC"/>
    <w:rsid w:val="053B7608"/>
    <w:rsid w:val="05507F0F"/>
    <w:rsid w:val="05653944"/>
    <w:rsid w:val="05DD246D"/>
    <w:rsid w:val="05DD332B"/>
    <w:rsid w:val="05FE0212"/>
    <w:rsid w:val="06190FCC"/>
    <w:rsid w:val="0622683E"/>
    <w:rsid w:val="065F5E83"/>
    <w:rsid w:val="06B71D57"/>
    <w:rsid w:val="06E570EC"/>
    <w:rsid w:val="06E64E63"/>
    <w:rsid w:val="06ED3836"/>
    <w:rsid w:val="07576777"/>
    <w:rsid w:val="0777244E"/>
    <w:rsid w:val="07CD605A"/>
    <w:rsid w:val="08183892"/>
    <w:rsid w:val="08501209"/>
    <w:rsid w:val="09300B06"/>
    <w:rsid w:val="0941707E"/>
    <w:rsid w:val="09557432"/>
    <w:rsid w:val="095E0AAD"/>
    <w:rsid w:val="09A24701"/>
    <w:rsid w:val="09D65B51"/>
    <w:rsid w:val="09EB1854"/>
    <w:rsid w:val="0A0F0502"/>
    <w:rsid w:val="0A27015B"/>
    <w:rsid w:val="0A451CB4"/>
    <w:rsid w:val="0A592595"/>
    <w:rsid w:val="0A9201E5"/>
    <w:rsid w:val="0A982E07"/>
    <w:rsid w:val="0B392F45"/>
    <w:rsid w:val="0B7A582F"/>
    <w:rsid w:val="0B8B749C"/>
    <w:rsid w:val="0B917393"/>
    <w:rsid w:val="0BA031E7"/>
    <w:rsid w:val="0BB84642"/>
    <w:rsid w:val="0BB978C9"/>
    <w:rsid w:val="0BD51E39"/>
    <w:rsid w:val="0BD55995"/>
    <w:rsid w:val="0BDC4B85"/>
    <w:rsid w:val="0C07575C"/>
    <w:rsid w:val="0C0B0E30"/>
    <w:rsid w:val="0C314090"/>
    <w:rsid w:val="0C34090D"/>
    <w:rsid w:val="0C847E8A"/>
    <w:rsid w:val="0CC56B02"/>
    <w:rsid w:val="0CCA1BE6"/>
    <w:rsid w:val="0D077DD0"/>
    <w:rsid w:val="0D103128"/>
    <w:rsid w:val="0D307327"/>
    <w:rsid w:val="0D3C216F"/>
    <w:rsid w:val="0D4F3654"/>
    <w:rsid w:val="0D66668B"/>
    <w:rsid w:val="0D6F4DC9"/>
    <w:rsid w:val="0D9755F8"/>
    <w:rsid w:val="0D9B2D4C"/>
    <w:rsid w:val="0DA654FA"/>
    <w:rsid w:val="0E040694"/>
    <w:rsid w:val="0E285252"/>
    <w:rsid w:val="0E5D7B1D"/>
    <w:rsid w:val="0E603C3C"/>
    <w:rsid w:val="0E7300A5"/>
    <w:rsid w:val="0E7771D7"/>
    <w:rsid w:val="0E925DBF"/>
    <w:rsid w:val="0EAD6DCB"/>
    <w:rsid w:val="0EB649E3"/>
    <w:rsid w:val="0EC75A69"/>
    <w:rsid w:val="0ED506F0"/>
    <w:rsid w:val="0EF5038E"/>
    <w:rsid w:val="0F3D38EF"/>
    <w:rsid w:val="0F506225"/>
    <w:rsid w:val="0F5A2CAF"/>
    <w:rsid w:val="0FAC4C5F"/>
    <w:rsid w:val="0FD0094D"/>
    <w:rsid w:val="0FD456BE"/>
    <w:rsid w:val="0FE67F22"/>
    <w:rsid w:val="0FF52AA9"/>
    <w:rsid w:val="103211D1"/>
    <w:rsid w:val="108407A7"/>
    <w:rsid w:val="10914580"/>
    <w:rsid w:val="10B14C22"/>
    <w:rsid w:val="10C2298C"/>
    <w:rsid w:val="10D6085B"/>
    <w:rsid w:val="10E741A0"/>
    <w:rsid w:val="110B1772"/>
    <w:rsid w:val="1122167C"/>
    <w:rsid w:val="117B3D22"/>
    <w:rsid w:val="1186164E"/>
    <w:rsid w:val="1188466F"/>
    <w:rsid w:val="11A46535"/>
    <w:rsid w:val="11B4198D"/>
    <w:rsid w:val="11B908BD"/>
    <w:rsid w:val="11BC220F"/>
    <w:rsid w:val="11E360D3"/>
    <w:rsid w:val="11E42DD6"/>
    <w:rsid w:val="11F65CF3"/>
    <w:rsid w:val="121223A9"/>
    <w:rsid w:val="121C431D"/>
    <w:rsid w:val="124A70DD"/>
    <w:rsid w:val="12541D09"/>
    <w:rsid w:val="12767ED2"/>
    <w:rsid w:val="12831424"/>
    <w:rsid w:val="12B75844"/>
    <w:rsid w:val="12EB5392"/>
    <w:rsid w:val="12F64B6E"/>
    <w:rsid w:val="12F6691D"/>
    <w:rsid w:val="12FB03D7"/>
    <w:rsid w:val="132A6E5B"/>
    <w:rsid w:val="13477178"/>
    <w:rsid w:val="13560D9B"/>
    <w:rsid w:val="137D2B9A"/>
    <w:rsid w:val="141C474B"/>
    <w:rsid w:val="14445DAD"/>
    <w:rsid w:val="146B6E96"/>
    <w:rsid w:val="1477349A"/>
    <w:rsid w:val="14904B4F"/>
    <w:rsid w:val="14A5684C"/>
    <w:rsid w:val="14B7012D"/>
    <w:rsid w:val="14E013D0"/>
    <w:rsid w:val="14F271DF"/>
    <w:rsid w:val="14FC3F92"/>
    <w:rsid w:val="1537146E"/>
    <w:rsid w:val="15394377"/>
    <w:rsid w:val="156F157A"/>
    <w:rsid w:val="157D45E3"/>
    <w:rsid w:val="157E7260"/>
    <w:rsid w:val="1584366B"/>
    <w:rsid w:val="15D46CBD"/>
    <w:rsid w:val="161D0664"/>
    <w:rsid w:val="162F566B"/>
    <w:rsid w:val="164E15A7"/>
    <w:rsid w:val="16664FB7"/>
    <w:rsid w:val="167E6854"/>
    <w:rsid w:val="16CB2E15"/>
    <w:rsid w:val="16CF7BB0"/>
    <w:rsid w:val="171E4694"/>
    <w:rsid w:val="173914CE"/>
    <w:rsid w:val="173D7210"/>
    <w:rsid w:val="175207E1"/>
    <w:rsid w:val="1763479D"/>
    <w:rsid w:val="177E5132"/>
    <w:rsid w:val="177F3AC8"/>
    <w:rsid w:val="17892EE2"/>
    <w:rsid w:val="17920772"/>
    <w:rsid w:val="17DA0D2E"/>
    <w:rsid w:val="17E05DED"/>
    <w:rsid w:val="17EE247E"/>
    <w:rsid w:val="180B62BF"/>
    <w:rsid w:val="187A1186"/>
    <w:rsid w:val="187D7B07"/>
    <w:rsid w:val="1891263A"/>
    <w:rsid w:val="18E13906"/>
    <w:rsid w:val="1905151E"/>
    <w:rsid w:val="19495A8C"/>
    <w:rsid w:val="19571816"/>
    <w:rsid w:val="196F567B"/>
    <w:rsid w:val="197173F2"/>
    <w:rsid w:val="19AD22A3"/>
    <w:rsid w:val="19BE5CBA"/>
    <w:rsid w:val="19C92FDD"/>
    <w:rsid w:val="19D5226A"/>
    <w:rsid w:val="19E94311"/>
    <w:rsid w:val="1A072992"/>
    <w:rsid w:val="1A2566F4"/>
    <w:rsid w:val="1A394265"/>
    <w:rsid w:val="1A5A3C35"/>
    <w:rsid w:val="1A703458"/>
    <w:rsid w:val="1A7176E9"/>
    <w:rsid w:val="1A7B3BAB"/>
    <w:rsid w:val="1A82320B"/>
    <w:rsid w:val="1ABA2925"/>
    <w:rsid w:val="1AED49A1"/>
    <w:rsid w:val="1AF2632B"/>
    <w:rsid w:val="1AF37BE5"/>
    <w:rsid w:val="1AF776D6"/>
    <w:rsid w:val="1B040045"/>
    <w:rsid w:val="1B1D4C62"/>
    <w:rsid w:val="1B46240B"/>
    <w:rsid w:val="1B8151F1"/>
    <w:rsid w:val="1B9A2806"/>
    <w:rsid w:val="1BA445E7"/>
    <w:rsid w:val="1BEC49C9"/>
    <w:rsid w:val="1C07166C"/>
    <w:rsid w:val="1C21175D"/>
    <w:rsid w:val="1C2178DB"/>
    <w:rsid w:val="1C306383"/>
    <w:rsid w:val="1C692C41"/>
    <w:rsid w:val="1C7A6810"/>
    <w:rsid w:val="1CA613B3"/>
    <w:rsid w:val="1D0D1432"/>
    <w:rsid w:val="1D93791E"/>
    <w:rsid w:val="1DD30D61"/>
    <w:rsid w:val="1E2F53D8"/>
    <w:rsid w:val="1E403142"/>
    <w:rsid w:val="1E7C7613"/>
    <w:rsid w:val="1E873CC8"/>
    <w:rsid w:val="1E990AA4"/>
    <w:rsid w:val="1EF6594F"/>
    <w:rsid w:val="1F0829B6"/>
    <w:rsid w:val="1F1840BF"/>
    <w:rsid w:val="1F38206B"/>
    <w:rsid w:val="1F4357F1"/>
    <w:rsid w:val="1F95570F"/>
    <w:rsid w:val="1FB65DB1"/>
    <w:rsid w:val="1FC240A7"/>
    <w:rsid w:val="1FCE2C02"/>
    <w:rsid w:val="1FF07174"/>
    <w:rsid w:val="201B4CE7"/>
    <w:rsid w:val="2045152A"/>
    <w:rsid w:val="20E653B1"/>
    <w:rsid w:val="21045795"/>
    <w:rsid w:val="210D40C9"/>
    <w:rsid w:val="214D4EB3"/>
    <w:rsid w:val="219961AD"/>
    <w:rsid w:val="21B60058"/>
    <w:rsid w:val="21BE719F"/>
    <w:rsid w:val="225B41AB"/>
    <w:rsid w:val="225D3B84"/>
    <w:rsid w:val="22A46106"/>
    <w:rsid w:val="22D4654E"/>
    <w:rsid w:val="23272F9C"/>
    <w:rsid w:val="232B6B97"/>
    <w:rsid w:val="23563407"/>
    <w:rsid w:val="23696C97"/>
    <w:rsid w:val="23B1164B"/>
    <w:rsid w:val="23B91729"/>
    <w:rsid w:val="23EB31FD"/>
    <w:rsid w:val="241E1C53"/>
    <w:rsid w:val="242D4168"/>
    <w:rsid w:val="24437F09"/>
    <w:rsid w:val="249B1395"/>
    <w:rsid w:val="251D2331"/>
    <w:rsid w:val="25326BDF"/>
    <w:rsid w:val="253A4D8F"/>
    <w:rsid w:val="253C3E23"/>
    <w:rsid w:val="256A4F48"/>
    <w:rsid w:val="2593679E"/>
    <w:rsid w:val="25956469"/>
    <w:rsid w:val="25B83F05"/>
    <w:rsid w:val="25F0544D"/>
    <w:rsid w:val="2659712A"/>
    <w:rsid w:val="267918E7"/>
    <w:rsid w:val="267F5D0D"/>
    <w:rsid w:val="26AD333E"/>
    <w:rsid w:val="26D06FD5"/>
    <w:rsid w:val="26DC1546"/>
    <w:rsid w:val="26FC79AE"/>
    <w:rsid w:val="275A3968"/>
    <w:rsid w:val="276E6F72"/>
    <w:rsid w:val="27750300"/>
    <w:rsid w:val="279369D8"/>
    <w:rsid w:val="27CD08D9"/>
    <w:rsid w:val="27CD6147"/>
    <w:rsid w:val="281178FD"/>
    <w:rsid w:val="28335AC5"/>
    <w:rsid w:val="284804B3"/>
    <w:rsid w:val="28687E65"/>
    <w:rsid w:val="28852E12"/>
    <w:rsid w:val="288640F1"/>
    <w:rsid w:val="28884063"/>
    <w:rsid w:val="28DE3C83"/>
    <w:rsid w:val="28E0474A"/>
    <w:rsid w:val="28ED3EC6"/>
    <w:rsid w:val="290851A4"/>
    <w:rsid w:val="29455AB0"/>
    <w:rsid w:val="294F2FF6"/>
    <w:rsid w:val="29583A35"/>
    <w:rsid w:val="298B1F92"/>
    <w:rsid w:val="29C73EC4"/>
    <w:rsid w:val="29D5322D"/>
    <w:rsid w:val="29DA08EE"/>
    <w:rsid w:val="2A173460"/>
    <w:rsid w:val="2A5A558B"/>
    <w:rsid w:val="2A9343D5"/>
    <w:rsid w:val="2A9C2048"/>
    <w:rsid w:val="2ABC2F6B"/>
    <w:rsid w:val="2AF459E0"/>
    <w:rsid w:val="2B05199B"/>
    <w:rsid w:val="2B1C0A93"/>
    <w:rsid w:val="2B4840C6"/>
    <w:rsid w:val="2BA07916"/>
    <w:rsid w:val="2BC10831"/>
    <w:rsid w:val="2BE00E29"/>
    <w:rsid w:val="2BE77795"/>
    <w:rsid w:val="2BF8505C"/>
    <w:rsid w:val="2C1A6EB7"/>
    <w:rsid w:val="2C286022"/>
    <w:rsid w:val="2C5D539C"/>
    <w:rsid w:val="2C7E7C57"/>
    <w:rsid w:val="2C901738"/>
    <w:rsid w:val="2CA90A4C"/>
    <w:rsid w:val="2CE850D0"/>
    <w:rsid w:val="2D426ED6"/>
    <w:rsid w:val="2D5034E4"/>
    <w:rsid w:val="2D5E5392"/>
    <w:rsid w:val="2D651304"/>
    <w:rsid w:val="2D68367D"/>
    <w:rsid w:val="2DAB7EBB"/>
    <w:rsid w:val="2DCC49F2"/>
    <w:rsid w:val="2DEA4E78"/>
    <w:rsid w:val="2E2E2FB7"/>
    <w:rsid w:val="2E694A03"/>
    <w:rsid w:val="2E6C3ADF"/>
    <w:rsid w:val="2E766B49"/>
    <w:rsid w:val="2EC27BA3"/>
    <w:rsid w:val="2ED10509"/>
    <w:rsid w:val="2F743A5D"/>
    <w:rsid w:val="2F8A06C1"/>
    <w:rsid w:val="2FB37DF3"/>
    <w:rsid w:val="2FDB3E92"/>
    <w:rsid w:val="300624EE"/>
    <w:rsid w:val="30232088"/>
    <w:rsid w:val="304237C7"/>
    <w:rsid w:val="308B646F"/>
    <w:rsid w:val="309D536F"/>
    <w:rsid w:val="312D39F9"/>
    <w:rsid w:val="315E1E05"/>
    <w:rsid w:val="316136A3"/>
    <w:rsid w:val="31615451"/>
    <w:rsid w:val="316D2048"/>
    <w:rsid w:val="317A1842"/>
    <w:rsid w:val="31B57050"/>
    <w:rsid w:val="32186662"/>
    <w:rsid w:val="3226123F"/>
    <w:rsid w:val="32283C49"/>
    <w:rsid w:val="33492641"/>
    <w:rsid w:val="33747E76"/>
    <w:rsid w:val="33B91574"/>
    <w:rsid w:val="33CF2B46"/>
    <w:rsid w:val="342033A2"/>
    <w:rsid w:val="343F0790"/>
    <w:rsid w:val="345F1553"/>
    <w:rsid w:val="346E3D85"/>
    <w:rsid w:val="34AF4725"/>
    <w:rsid w:val="34C20E1D"/>
    <w:rsid w:val="354B0C8E"/>
    <w:rsid w:val="35527ED3"/>
    <w:rsid w:val="357240D1"/>
    <w:rsid w:val="3579250F"/>
    <w:rsid w:val="35C30FE8"/>
    <w:rsid w:val="35FE5964"/>
    <w:rsid w:val="36081288"/>
    <w:rsid w:val="3628761B"/>
    <w:rsid w:val="368D0A96"/>
    <w:rsid w:val="36F16B30"/>
    <w:rsid w:val="37230262"/>
    <w:rsid w:val="374B42EF"/>
    <w:rsid w:val="37555607"/>
    <w:rsid w:val="37580572"/>
    <w:rsid w:val="377E79D3"/>
    <w:rsid w:val="37CB4618"/>
    <w:rsid w:val="37CE7EDC"/>
    <w:rsid w:val="37E93BC8"/>
    <w:rsid w:val="37EF7C5B"/>
    <w:rsid w:val="37FC2378"/>
    <w:rsid w:val="380F4FE6"/>
    <w:rsid w:val="381B5E3C"/>
    <w:rsid w:val="3831540F"/>
    <w:rsid w:val="38675A43"/>
    <w:rsid w:val="38746F91"/>
    <w:rsid w:val="388F0AF6"/>
    <w:rsid w:val="389C68A5"/>
    <w:rsid w:val="38E963C8"/>
    <w:rsid w:val="391334D5"/>
    <w:rsid w:val="3939062B"/>
    <w:rsid w:val="395F3DF1"/>
    <w:rsid w:val="39B455F3"/>
    <w:rsid w:val="39C20DC3"/>
    <w:rsid w:val="39FC21BB"/>
    <w:rsid w:val="3A0F1F5F"/>
    <w:rsid w:val="3A1F310B"/>
    <w:rsid w:val="3A4B4EF0"/>
    <w:rsid w:val="3A5B3385"/>
    <w:rsid w:val="3A5F15BB"/>
    <w:rsid w:val="3A647D60"/>
    <w:rsid w:val="3A78307D"/>
    <w:rsid w:val="3A79380C"/>
    <w:rsid w:val="3AA765CB"/>
    <w:rsid w:val="3AC5774B"/>
    <w:rsid w:val="3AD925C9"/>
    <w:rsid w:val="3B783AC3"/>
    <w:rsid w:val="3B8102A9"/>
    <w:rsid w:val="3BF32267"/>
    <w:rsid w:val="3C2004AD"/>
    <w:rsid w:val="3C3A346E"/>
    <w:rsid w:val="3C505898"/>
    <w:rsid w:val="3C551209"/>
    <w:rsid w:val="3C685CAB"/>
    <w:rsid w:val="3C7E15AD"/>
    <w:rsid w:val="3C9963E7"/>
    <w:rsid w:val="3C9C5ED7"/>
    <w:rsid w:val="3CD37402"/>
    <w:rsid w:val="3CD967E3"/>
    <w:rsid w:val="3CDB2AE0"/>
    <w:rsid w:val="3CFC0724"/>
    <w:rsid w:val="3D034ED2"/>
    <w:rsid w:val="3D142592"/>
    <w:rsid w:val="3D5A3DC8"/>
    <w:rsid w:val="3DA0122B"/>
    <w:rsid w:val="3DBD4357"/>
    <w:rsid w:val="3DCF3BCD"/>
    <w:rsid w:val="3DEE05E6"/>
    <w:rsid w:val="3DF17B5D"/>
    <w:rsid w:val="3E4103DE"/>
    <w:rsid w:val="3E526942"/>
    <w:rsid w:val="3E530817"/>
    <w:rsid w:val="3E530CCE"/>
    <w:rsid w:val="3E5E705F"/>
    <w:rsid w:val="3E78202C"/>
    <w:rsid w:val="3EAB0654"/>
    <w:rsid w:val="3EC139D3"/>
    <w:rsid w:val="3F0344EF"/>
    <w:rsid w:val="3F214472"/>
    <w:rsid w:val="3F2B709E"/>
    <w:rsid w:val="3F2D1CB6"/>
    <w:rsid w:val="3F4A1C1A"/>
    <w:rsid w:val="3F566811"/>
    <w:rsid w:val="3F783CE9"/>
    <w:rsid w:val="3F826090"/>
    <w:rsid w:val="3F9D1D4A"/>
    <w:rsid w:val="3FDF4E54"/>
    <w:rsid w:val="40116642"/>
    <w:rsid w:val="40385F17"/>
    <w:rsid w:val="40484FB5"/>
    <w:rsid w:val="4050405C"/>
    <w:rsid w:val="40520C05"/>
    <w:rsid w:val="407755D6"/>
    <w:rsid w:val="40D82164"/>
    <w:rsid w:val="40F736DC"/>
    <w:rsid w:val="40FD4530"/>
    <w:rsid w:val="41270E5F"/>
    <w:rsid w:val="41376132"/>
    <w:rsid w:val="415648A7"/>
    <w:rsid w:val="419248B1"/>
    <w:rsid w:val="421F113C"/>
    <w:rsid w:val="421F738E"/>
    <w:rsid w:val="42276A1A"/>
    <w:rsid w:val="427E2D85"/>
    <w:rsid w:val="429B006C"/>
    <w:rsid w:val="42D02437"/>
    <w:rsid w:val="430A3B9B"/>
    <w:rsid w:val="43140191"/>
    <w:rsid w:val="43C401ED"/>
    <w:rsid w:val="43EB3CFA"/>
    <w:rsid w:val="440C3942"/>
    <w:rsid w:val="441822E7"/>
    <w:rsid w:val="441857AF"/>
    <w:rsid w:val="44784B34"/>
    <w:rsid w:val="44A92F3F"/>
    <w:rsid w:val="45085EB8"/>
    <w:rsid w:val="451F03F8"/>
    <w:rsid w:val="45596713"/>
    <w:rsid w:val="455E01CE"/>
    <w:rsid w:val="4597548E"/>
    <w:rsid w:val="45BF5840"/>
    <w:rsid w:val="45D114CD"/>
    <w:rsid w:val="45D73ADC"/>
    <w:rsid w:val="461A1035"/>
    <w:rsid w:val="464A3E91"/>
    <w:rsid w:val="46733805"/>
    <w:rsid w:val="46737CA9"/>
    <w:rsid w:val="46A14816"/>
    <w:rsid w:val="46C4607B"/>
    <w:rsid w:val="47182221"/>
    <w:rsid w:val="47182C2B"/>
    <w:rsid w:val="472F1E22"/>
    <w:rsid w:val="47505B23"/>
    <w:rsid w:val="475A2C17"/>
    <w:rsid w:val="478649D9"/>
    <w:rsid w:val="47B522C9"/>
    <w:rsid w:val="47B769D0"/>
    <w:rsid w:val="47CF53B3"/>
    <w:rsid w:val="47E50732"/>
    <w:rsid w:val="47F46C1C"/>
    <w:rsid w:val="480D2EA9"/>
    <w:rsid w:val="483D056E"/>
    <w:rsid w:val="48557E26"/>
    <w:rsid w:val="487B1F58"/>
    <w:rsid w:val="48AF4B51"/>
    <w:rsid w:val="490E02F3"/>
    <w:rsid w:val="49211C3E"/>
    <w:rsid w:val="49352AAB"/>
    <w:rsid w:val="495D110F"/>
    <w:rsid w:val="496C18D9"/>
    <w:rsid w:val="49AD36B2"/>
    <w:rsid w:val="49B17BD6"/>
    <w:rsid w:val="49EC224C"/>
    <w:rsid w:val="49FE3D2D"/>
    <w:rsid w:val="4A0528F8"/>
    <w:rsid w:val="4A2A0786"/>
    <w:rsid w:val="4A3414FD"/>
    <w:rsid w:val="4A6F4C2B"/>
    <w:rsid w:val="4AA743C5"/>
    <w:rsid w:val="4AD11442"/>
    <w:rsid w:val="4AD61A09"/>
    <w:rsid w:val="4ADA20A4"/>
    <w:rsid w:val="4AEC07CE"/>
    <w:rsid w:val="4AFB201B"/>
    <w:rsid w:val="4B1918FB"/>
    <w:rsid w:val="4B3F31DE"/>
    <w:rsid w:val="4B496C93"/>
    <w:rsid w:val="4B6C4CC7"/>
    <w:rsid w:val="4B79502C"/>
    <w:rsid w:val="4B867C14"/>
    <w:rsid w:val="4B8B4870"/>
    <w:rsid w:val="4BAA1A85"/>
    <w:rsid w:val="4BF52F0E"/>
    <w:rsid w:val="4C0373D9"/>
    <w:rsid w:val="4C18798A"/>
    <w:rsid w:val="4C302981"/>
    <w:rsid w:val="4C903902"/>
    <w:rsid w:val="4C9149E5"/>
    <w:rsid w:val="4CB4320C"/>
    <w:rsid w:val="4D3154B8"/>
    <w:rsid w:val="4D4113C1"/>
    <w:rsid w:val="4D4121A2"/>
    <w:rsid w:val="4D5C3245"/>
    <w:rsid w:val="4DA67EC1"/>
    <w:rsid w:val="4DAB4BAF"/>
    <w:rsid w:val="4DF74D1B"/>
    <w:rsid w:val="4DFF1E22"/>
    <w:rsid w:val="4E361CE8"/>
    <w:rsid w:val="4E4C4D02"/>
    <w:rsid w:val="4E827B3C"/>
    <w:rsid w:val="4E835CAB"/>
    <w:rsid w:val="4E914648"/>
    <w:rsid w:val="4EB3158A"/>
    <w:rsid w:val="4EC372F3"/>
    <w:rsid w:val="4EDD4EC0"/>
    <w:rsid w:val="4EE05471"/>
    <w:rsid w:val="4F087B3B"/>
    <w:rsid w:val="4F1B712F"/>
    <w:rsid w:val="4F1D552B"/>
    <w:rsid w:val="4F43529A"/>
    <w:rsid w:val="4F7618C2"/>
    <w:rsid w:val="4F7D74A2"/>
    <w:rsid w:val="4F8B568E"/>
    <w:rsid w:val="4F932A9A"/>
    <w:rsid w:val="4FB678E7"/>
    <w:rsid w:val="4FBE50F6"/>
    <w:rsid w:val="4FDF63AF"/>
    <w:rsid w:val="4FF84D7B"/>
    <w:rsid w:val="50400CD8"/>
    <w:rsid w:val="506809E6"/>
    <w:rsid w:val="50CF3D2E"/>
    <w:rsid w:val="50E01425"/>
    <w:rsid w:val="51142088"/>
    <w:rsid w:val="5119769F"/>
    <w:rsid w:val="512322CB"/>
    <w:rsid w:val="513D3601"/>
    <w:rsid w:val="51422B90"/>
    <w:rsid w:val="515505E8"/>
    <w:rsid w:val="517B0E49"/>
    <w:rsid w:val="51FF4AE6"/>
    <w:rsid w:val="524E4A10"/>
    <w:rsid w:val="52927795"/>
    <w:rsid w:val="52940358"/>
    <w:rsid w:val="52F009DA"/>
    <w:rsid w:val="532C190B"/>
    <w:rsid w:val="53472EF8"/>
    <w:rsid w:val="534F0106"/>
    <w:rsid w:val="535C3599"/>
    <w:rsid w:val="5394300C"/>
    <w:rsid w:val="53A67AD5"/>
    <w:rsid w:val="53EC0FD5"/>
    <w:rsid w:val="53F37618"/>
    <w:rsid w:val="53FC752F"/>
    <w:rsid w:val="53FD32A8"/>
    <w:rsid w:val="54105DF7"/>
    <w:rsid w:val="5418600B"/>
    <w:rsid w:val="541A5C08"/>
    <w:rsid w:val="54376509"/>
    <w:rsid w:val="54985F90"/>
    <w:rsid w:val="54A947EB"/>
    <w:rsid w:val="54B06187"/>
    <w:rsid w:val="54DD7AC9"/>
    <w:rsid w:val="54DE6B11"/>
    <w:rsid w:val="556F3D31"/>
    <w:rsid w:val="55AD03B6"/>
    <w:rsid w:val="55C24CCF"/>
    <w:rsid w:val="55C3124F"/>
    <w:rsid w:val="55D61909"/>
    <w:rsid w:val="55FF3307"/>
    <w:rsid w:val="56081E48"/>
    <w:rsid w:val="56346B70"/>
    <w:rsid w:val="56416C37"/>
    <w:rsid w:val="565E4380"/>
    <w:rsid w:val="56951575"/>
    <w:rsid w:val="56E66E44"/>
    <w:rsid w:val="570404A9"/>
    <w:rsid w:val="572052E3"/>
    <w:rsid w:val="573D0234"/>
    <w:rsid w:val="57445805"/>
    <w:rsid w:val="57C06AC6"/>
    <w:rsid w:val="57CA34A1"/>
    <w:rsid w:val="57DD1426"/>
    <w:rsid w:val="57E26A3C"/>
    <w:rsid w:val="57EF1159"/>
    <w:rsid w:val="582F1556"/>
    <w:rsid w:val="584375F9"/>
    <w:rsid w:val="586438F5"/>
    <w:rsid w:val="58647451"/>
    <w:rsid w:val="58676222"/>
    <w:rsid w:val="586A7C9A"/>
    <w:rsid w:val="58866E9B"/>
    <w:rsid w:val="58B50C0C"/>
    <w:rsid w:val="597F2AAC"/>
    <w:rsid w:val="59C83A10"/>
    <w:rsid w:val="59FD7B5D"/>
    <w:rsid w:val="5A0F2607"/>
    <w:rsid w:val="5A226FE5"/>
    <w:rsid w:val="5A3B68D8"/>
    <w:rsid w:val="5A405C9C"/>
    <w:rsid w:val="5A491492"/>
    <w:rsid w:val="5A655C07"/>
    <w:rsid w:val="5A7A082C"/>
    <w:rsid w:val="5A8262B5"/>
    <w:rsid w:val="5AC572DE"/>
    <w:rsid w:val="5ADE798F"/>
    <w:rsid w:val="5ADF7263"/>
    <w:rsid w:val="5B0602A9"/>
    <w:rsid w:val="5B743E4F"/>
    <w:rsid w:val="5B81022D"/>
    <w:rsid w:val="5B8B6426"/>
    <w:rsid w:val="5BDA475A"/>
    <w:rsid w:val="5BFB61F3"/>
    <w:rsid w:val="5C221798"/>
    <w:rsid w:val="5C265C13"/>
    <w:rsid w:val="5C4E73AB"/>
    <w:rsid w:val="5C5932CD"/>
    <w:rsid w:val="5C8005D2"/>
    <w:rsid w:val="5C930305"/>
    <w:rsid w:val="5C9D2F32"/>
    <w:rsid w:val="5CAF2E9D"/>
    <w:rsid w:val="5CC6692D"/>
    <w:rsid w:val="5CEB492E"/>
    <w:rsid w:val="5D0E2082"/>
    <w:rsid w:val="5D123920"/>
    <w:rsid w:val="5D445E0F"/>
    <w:rsid w:val="5D591C96"/>
    <w:rsid w:val="5D7551E4"/>
    <w:rsid w:val="5D762383"/>
    <w:rsid w:val="5DF272AD"/>
    <w:rsid w:val="5DF631B4"/>
    <w:rsid w:val="5E082F75"/>
    <w:rsid w:val="5E130051"/>
    <w:rsid w:val="5E317B16"/>
    <w:rsid w:val="5E397595"/>
    <w:rsid w:val="5E782C88"/>
    <w:rsid w:val="5E9F5687"/>
    <w:rsid w:val="5ED846F5"/>
    <w:rsid w:val="5F7563E8"/>
    <w:rsid w:val="5F82462F"/>
    <w:rsid w:val="5F93775D"/>
    <w:rsid w:val="5FCC24AC"/>
    <w:rsid w:val="5FFB5E88"/>
    <w:rsid w:val="5FFC5942"/>
    <w:rsid w:val="5FFD753B"/>
    <w:rsid w:val="604A33D1"/>
    <w:rsid w:val="604D6B8C"/>
    <w:rsid w:val="605377A5"/>
    <w:rsid w:val="60D80349"/>
    <w:rsid w:val="60FE149D"/>
    <w:rsid w:val="610C4B2A"/>
    <w:rsid w:val="612320F4"/>
    <w:rsid w:val="616C7377"/>
    <w:rsid w:val="617E39F3"/>
    <w:rsid w:val="619716B1"/>
    <w:rsid w:val="61987E53"/>
    <w:rsid w:val="61A3723C"/>
    <w:rsid w:val="61D03DA9"/>
    <w:rsid w:val="61D373F6"/>
    <w:rsid w:val="622B7232"/>
    <w:rsid w:val="623B2B28"/>
    <w:rsid w:val="625741C6"/>
    <w:rsid w:val="625978FB"/>
    <w:rsid w:val="627B3D15"/>
    <w:rsid w:val="62A414BE"/>
    <w:rsid w:val="62BE1E54"/>
    <w:rsid w:val="63123ACB"/>
    <w:rsid w:val="63201EAD"/>
    <w:rsid w:val="634023E1"/>
    <w:rsid w:val="63534C92"/>
    <w:rsid w:val="635D166D"/>
    <w:rsid w:val="63690012"/>
    <w:rsid w:val="63780255"/>
    <w:rsid w:val="63C43637"/>
    <w:rsid w:val="63C60FC0"/>
    <w:rsid w:val="64457A91"/>
    <w:rsid w:val="64837248"/>
    <w:rsid w:val="64864CAD"/>
    <w:rsid w:val="64EE1155"/>
    <w:rsid w:val="65031DA0"/>
    <w:rsid w:val="65257F68"/>
    <w:rsid w:val="657C5ECA"/>
    <w:rsid w:val="65E55591"/>
    <w:rsid w:val="66024B2B"/>
    <w:rsid w:val="661308CA"/>
    <w:rsid w:val="66600C01"/>
    <w:rsid w:val="66A02C7C"/>
    <w:rsid w:val="66C11670"/>
    <w:rsid w:val="66E8749F"/>
    <w:rsid w:val="66ED66EB"/>
    <w:rsid w:val="670E2F28"/>
    <w:rsid w:val="67136644"/>
    <w:rsid w:val="674A015A"/>
    <w:rsid w:val="67786A75"/>
    <w:rsid w:val="677B2AD6"/>
    <w:rsid w:val="677E1BB2"/>
    <w:rsid w:val="678B74EE"/>
    <w:rsid w:val="67E94702"/>
    <w:rsid w:val="67FC1454"/>
    <w:rsid w:val="68D86E8B"/>
    <w:rsid w:val="690F3405"/>
    <w:rsid w:val="691A347C"/>
    <w:rsid w:val="69270753"/>
    <w:rsid w:val="69426BBF"/>
    <w:rsid w:val="69444664"/>
    <w:rsid w:val="69473047"/>
    <w:rsid w:val="69F15165"/>
    <w:rsid w:val="69FD27D0"/>
    <w:rsid w:val="6A40325F"/>
    <w:rsid w:val="6A8219B9"/>
    <w:rsid w:val="6ACF39D9"/>
    <w:rsid w:val="6ADE7537"/>
    <w:rsid w:val="6B1B59DE"/>
    <w:rsid w:val="6B5E42F0"/>
    <w:rsid w:val="6B64759D"/>
    <w:rsid w:val="6B6A2B79"/>
    <w:rsid w:val="6B712159"/>
    <w:rsid w:val="6BAC3191"/>
    <w:rsid w:val="6BFF59B7"/>
    <w:rsid w:val="6C3D64DF"/>
    <w:rsid w:val="6C68355C"/>
    <w:rsid w:val="6C867440"/>
    <w:rsid w:val="6C904861"/>
    <w:rsid w:val="6C97174C"/>
    <w:rsid w:val="6CB467A2"/>
    <w:rsid w:val="6CBA368C"/>
    <w:rsid w:val="6CC63F7A"/>
    <w:rsid w:val="6D0843F7"/>
    <w:rsid w:val="6D592EA5"/>
    <w:rsid w:val="6D6666DB"/>
    <w:rsid w:val="6D7F21CF"/>
    <w:rsid w:val="6DF27FD2"/>
    <w:rsid w:val="6DFA3135"/>
    <w:rsid w:val="6E022645"/>
    <w:rsid w:val="6E056B89"/>
    <w:rsid w:val="6E0C6169"/>
    <w:rsid w:val="6E0F5663"/>
    <w:rsid w:val="6E2F611A"/>
    <w:rsid w:val="6E5F44EB"/>
    <w:rsid w:val="6E657628"/>
    <w:rsid w:val="6E744555"/>
    <w:rsid w:val="6EDD46E8"/>
    <w:rsid w:val="6F172914"/>
    <w:rsid w:val="6F257809"/>
    <w:rsid w:val="6F285225"/>
    <w:rsid w:val="6F413937"/>
    <w:rsid w:val="6F5837CB"/>
    <w:rsid w:val="6F712728"/>
    <w:rsid w:val="6FA65F05"/>
    <w:rsid w:val="70025A76"/>
    <w:rsid w:val="70495453"/>
    <w:rsid w:val="70645DE9"/>
    <w:rsid w:val="706E13CB"/>
    <w:rsid w:val="706F657C"/>
    <w:rsid w:val="71213CDA"/>
    <w:rsid w:val="71261D8D"/>
    <w:rsid w:val="71467BE4"/>
    <w:rsid w:val="715A093B"/>
    <w:rsid w:val="716D1192"/>
    <w:rsid w:val="71BF78E7"/>
    <w:rsid w:val="71C659E1"/>
    <w:rsid w:val="71DE745D"/>
    <w:rsid w:val="71E6486A"/>
    <w:rsid w:val="72141A90"/>
    <w:rsid w:val="728E2709"/>
    <w:rsid w:val="72966949"/>
    <w:rsid w:val="72C60FDD"/>
    <w:rsid w:val="72CD457E"/>
    <w:rsid w:val="7342518C"/>
    <w:rsid w:val="73A34E7A"/>
    <w:rsid w:val="73A82490"/>
    <w:rsid w:val="73B726D3"/>
    <w:rsid w:val="73C15A74"/>
    <w:rsid w:val="73D46967"/>
    <w:rsid w:val="73F27BAF"/>
    <w:rsid w:val="74313CDD"/>
    <w:rsid w:val="744D12DF"/>
    <w:rsid w:val="745B08F0"/>
    <w:rsid w:val="7479307E"/>
    <w:rsid w:val="74BD640F"/>
    <w:rsid w:val="74CF3033"/>
    <w:rsid w:val="750A7995"/>
    <w:rsid w:val="750E0A19"/>
    <w:rsid w:val="75114065"/>
    <w:rsid w:val="751C78AF"/>
    <w:rsid w:val="75232716"/>
    <w:rsid w:val="752949C6"/>
    <w:rsid w:val="756E770A"/>
    <w:rsid w:val="757A4300"/>
    <w:rsid w:val="75DC6B41"/>
    <w:rsid w:val="75E11C8A"/>
    <w:rsid w:val="760F453B"/>
    <w:rsid w:val="761134D6"/>
    <w:rsid w:val="761B595B"/>
    <w:rsid w:val="7624652F"/>
    <w:rsid w:val="766E26D2"/>
    <w:rsid w:val="76C021E7"/>
    <w:rsid w:val="76DD06A3"/>
    <w:rsid w:val="76E64499"/>
    <w:rsid w:val="770437FD"/>
    <w:rsid w:val="772B7660"/>
    <w:rsid w:val="77626DFA"/>
    <w:rsid w:val="776A001C"/>
    <w:rsid w:val="77770AF7"/>
    <w:rsid w:val="77A411C1"/>
    <w:rsid w:val="77C00DD8"/>
    <w:rsid w:val="77F8228A"/>
    <w:rsid w:val="78283DE0"/>
    <w:rsid w:val="78371BEA"/>
    <w:rsid w:val="78462278"/>
    <w:rsid w:val="785C1A9B"/>
    <w:rsid w:val="78C25DA2"/>
    <w:rsid w:val="78DA6D60"/>
    <w:rsid w:val="795409C4"/>
    <w:rsid w:val="7984574E"/>
    <w:rsid w:val="798D1378"/>
    <w:rsid w:val="79A4194C"/>
    <w:rsid w:val="79BD4C0D"/>
    <w:rsid w:val="79D73ACF"/>
    <w:rsid w:val="79EF6483"/>
    <w:rsid w:val="79F301DD"/>
    <w:rsid w:val="7A0B7AD4"/>
    <w:rsid w:val="7A106FE1"/>
    <w:rsid w:val="7A2465E9"/>
    <w:rsid w:val="7A3A5E0C"/>
    <w:rsid w:val="7A601D17"/>
    <w:rsid w:val="7A893B99"/>
    <w:rsid w:val="7AA00365"/>
    <w:rsid w:val="7AB733E4"/>
    <w:rsid w:val="7ACA0F0A"/>
    <w:rsid w:val="7ACB4126"/>
    <w:rsid w:val="7AE41C7F"/>
    <w:rsid w:val="7B0F54EB"/>
    <w:rsid w:val="7B230386"/>
    <w:rsid w:val="7B664481"/>
    <w:rsid w:val="7B9A3006"/>
    <w:rsid w:val="7B9D2AF7"/>
    <w:rsid w:val="7BAC5A6D"/>
    <w:rsid w:val="7BB74110"/>
    <w:rsid w:val="7BC2255D"/>
    <w:rsid w:val="7BD83B2F"/>
    <w:rsid w:val="7BEA3F9D"/>
    <w:rsid w:val="7C2B2981"/>
    <w:rsid w:val="7C7C095E"/>
    <w:rsid w:val="7CB023B6"/>
    <w:rsid w:val="7CD86E54"/>
    <w:rsid w:val="7CE0713F"/>
    <w:rsid w:val="7D230DDA"/>
    <w:rsid w:val="7D2D3A06"/>
    <w:rsid w:val="7D834802"/>
    <w:rsid w:val="7DBB1012"/>
    <w:rsid w:val="7DD45A39"/>
    <w:rsid w:val="7DEE2688"/>
    <w:rsid w:val="7DF53835"/>
    <w:rsid w:val="7E1C1CC9"/>
    <w:rsid w:val="7E3F7E95"/>
    <w:rsid w:val="7E6C518C"/>
    <w:rsid w:val="7EB049C0"/>
    <w:rsid w:val="7F2619A9"/>
    <w:rsid w:val="7F517F0F"/>
    <w:rsid w:val="7F796633"/>
    <w:rsid w:val="7FA40A1F"/>
    <w:rsid w:val="7FA73EAD"/>
    <w:rsid w:val="7FAF6B93"/>
    <w:rsid w:val="7FE955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120" w:line="360" w:lineRule="auto"/>
      <w:ind w:firstLine="200" w:firstLineChars="200"/>
      <w:outlineLvl w:val="0"/>
    </w:pPr>
    <w:rPr>
      <w:rFonts w:eastAsia="黑体"/>
      <w:b/>
      <w:bCs/>
      <w:kern w:val="44"/>
      <w:sz w:val="28"/>
      <w:szCs w:val="44"/>
    </w:rPr>
  </w:style>
  <w:style w:type="paragraph" w:styleId="3">
    <w:name w:val="heading 2"/>
    <w:basedOn w:val="1"/>
    <w:next w:val="1"/>
    <w:autoRedefine/>
    <w:unhideWhenUsed/>
    <w:qFormat/>
    <w:uiPriority w:val="0"/>
    <w:pPr>
      <w:keepNext/>
      <w:keepLines/>
      <w:ind w:firstLine="643" w:firstLineChars="200"/>
      <w:outlineLvl w:val="1"/>
    </w:pPr>
    <w:rPr>
      <w:rFonts w:ascii="黑体" w:hAnsi="黑体" w:eastAsia="黑体" w:cs="仿宋_GB2312"/>
      <w:b/>
      <w:sz w:val="32"/>
      <w:szCs w:val="32"/>
    </w:rPr>
  </w:style>
  <w:style w:type="paragraph" w:styleId="4">
    <w:name w:val="heading 3"/>
    <w:basedOn w:val="1"/>
    <w:next w:val="1"/>
    <w:autoRedefine/>
    <w:semiHidden/>
    <w:unhideWhenUsed/>
    <w:qFormat/>
    <w:uiPriority w:val="0"/>
    <w:pPr>
      <w:keepNext/>
      <w:keepLines/>
      <w:spacing w:before="260" w:after="260" w:line="413" w:lineRule="auto"/>
      <w:outlineLvl w:val="2"/>
    </w:pPr>
    <w:rPr>
      <w:b/>
      <w:sz w:val="32"/>
    </w:r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firstLineChars="200"/>
    </w:pPr>
    <w:rPr>
      <w:rFonts w:ascii="Times New Roman" w:hAnsi="Times New Roman" w:eastAsia="仿宋" w:cs="Times New Roman"/>
      <w:sz w:val="32"/>
    </w:rPr>
  </w:style>
  <w:style w:type="paragraph" w:styleId="6">
    <w:name w:val="caption"/>
    <w:basedOn w:val="1"/>
    <w:next w:val="1"/>
    <w:autoRedefine/>
    <w:semiHidden/>
    <w:unhideWhenUsed/>
    <w:qFormat/>
    <w:uiPriority w:val="0"/>
    <w:rPr>
      <w:rFonts w:ascii="Arial" w:hAnsi="Arial" w:eastAsia="黑体"/>
      <w:sz w:val="20"/>
    </w:rPr>
  </w:style>
  <w:style w:type="paragraph" w:styleId="7">
    <w:name w:val="Body Text"/>
    <w:autoRedefine/>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8">
    <w:name w:val="Body Text Indent"/>
    <w:basedOn w:val="1"/>
    <w:next w:val="5"/>
    <w:autoRedefine/>
    <w:semiHidden/>
    <w:unhideWhenUsed/>
    <w:qFormat/>
    <w:uiPriority w:val="99"/>
    <w:pPr>
      <w:spacing w:after="120"/>
      <w:ind w:left="420" w:leftChars="200"/>
    </w:pPr>
  </w:style>
  <w:style w:type="paragraph" w:styleId="9">
    <w:name w:val="toc 3"/>
    <w:basedOn w:val="1"/>
    <w:next w:val="1"/>
    <w:autoRedefine/>
    <w:qFormat/>
    <w:uiPriority w:val="0"/>
    <w:pPr>
      <w:ind w:left="840" w:leftChars="400"/>
    </w:p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autoRedefine/>
    <w:qFormat/>
    <w:uiPriority w:val="0"/>
  </w:style>
  <w:style w:type="paragraph" w:styleId="13">
    <w:name w:val="footnote text"/>
    <w:basedOn w:val="1"/>
    <w:autoRedefine/>
    <w:qFormat/>
    <w:uiPriority w:val="0"/>
    <w:pPr>
      <w:snapToGrid w:val="0"/>
      <w:jc w:val="left"/>
    </w:pPr>
    <w:rPr>
      <w:sz w:val="18"/>
    </w:rPr>
  </w:style>
  <w:style w:type="paragraph" w:styleId="14">
    <w:name w:val="table of figures"/>
    <w:basedOn w:val="1"/>
    <w:next w:val="1"/>
    <w:autoRedefine/>
    <w:qFormat/>
    <w:uiPriority w:val="0"/>
    <w:pPr>
      <w:ind w:leftChars="200" w:hanging="200" w:hangingChars="200"/>
    </w:pPr>
  </w:style>
  <w:style w:type="paragraph" w:styleId="15">
    <w:name w:val="toc 2"/>
    <w:basedOn w:val="1"/>
    <w:next w:val="1"/>
    <w:autoRedefine/>
    <w:qFormat/>
    <w:uiPriority w:val="0"/>
    <w:pPr>
      <w:ind w:left="420" w:leftChars="200"/>
    </w:pPr>
  </w:style>
  <w:style w:type="paragraph" w:styleId="16">
    <w:name w:val="Normal (Web)"/>
    <w:autoRedefine/>
    <w:qFormat/>
    <w:uiPriority w:val="0"/>
    <w:pPr>
      <w:widowControl w:val="0"/>
      <w:spacing w:before="100" w:beforeAutospacing="1" w:after="100" w:afterAutospacing="1"/>
    </w:pPr>
    <w:rPr>
      <w:rFonts w:ascii="Calibri" w:hAnsi="Calibri" w:eastAsia="宋体" w:cs="Times New Roman"/>
      <w:sz w:val="24"/>
      <w:szCs w:val="24"/>
      <w:lang w:val="en-US" w:eastAsia="zh-CN" w:bidi="ar-SA"/>
    </w:rPr>
  </w:style>
  <w:style w:type="paragraph" w:styleId="17">
    <w:name w:val="Body Text First Indent 2"/>
    <w:basedOn w:val="8"/>
    <w:autoRedefine/>
    <w:unhideWhenUsed/>
    <w:qFormat/>
    <w:uiPriority w:val="99"/>
    <w:pPr>
      <w:ind w:left="0" w:leftChars="0" w:firstLine="640" w:firstLineChars="200"/>
      <w:jc w:val="left"/>
    </w:pPr>
  </w:style>
  <w:style w:type="character" w:styleId="20">
    <w:name w:val="Strong"/>
    <w:autoRedefine/>
    <w:qFormat/>
    <w:uiPriority w:val="0"/>
    <w:rPr>
      <w:b/>
    </w:rPr>
  </w:style>
  <w:style w:type="character" w:styleId="21">
    <w:name w:val="footnote reference"/>
    <w:basedOn w:val="19"/>
    <w:autoRedefine/>
    <w:qFormat/>
    <w:uiPriority w:val="0"/>
    <w:rPr>
      <w:vertAlign w:val="superscript"/>
    </w:rPr>
  </w:style>
  <w:style w:type="character" w:customStyle="1" w:styleId="22">
    <w:name w:val="font31"/>
    <w:basedOn w:val="19"/>
    <w:autoRedefine/>
    <w:qFormat/>
    <w:uiPriority w:val="0"/>
    <w:rPr>
      <w:rFonts w:hint="default" w:ascii="仿宋_GB2312" w:eastAsia="仿宋_GB2312" w:cs="仿宋_GB2312"/>
      <w:color w:val="000000"/>
      <w:sz w:val="28"/>
      <w:szCs w:val="28"/>
      <w:u w:val="none"/>
    </w:rPr>
  </w:style>
  <w:style w:type="character" w:customStyle="1" w:styleId="23">
    <w:name w:val="font41"/>
    <w:basedOn w:val="19"/>
    <w:autoRedefine/>
    <w:qFormat/>
    <w:uiPriority w:val="0"/>
    <w:rPr>
      <w:rFonts w:hint="default" w:ascii="仿宋_GB2312" w:eastAsia="仿宋_GB2312" w:cs="仿宋_GB2312"/>
      <w:color w:val="000000"/>
      <w:sz w:val="28"/>
      <w:szCs w:val="28"/>
      <w:u w:val="none"/>
    </w:rPr>
  </w:style>
  <w:style w:type="character" w:customStyle="1" w:styleId="24">
    <w:name w:val="font21"/>
    <w:autoRedefine/>
    <w:qFormat/>
    <w:uiPriority w:val="0"/>
    <w:rPr>
      <w:rFonts w:hint="eastAsia" w:ascii="宋体" w:hAnsi="宋体" w:eastAsia="宋体" w:cs="宋体"/>
      <w:color w:val="000000"/>
      <w:sz w:val="22"/>
      <w:szCs w:val="22"/>
      <w:u w:val="none"/>
    </w:rPr>
  </w:style>
  <w:style w:type="paragraph" w:customStyle="1" w:styleId="25">
    <w:name w:val="年报正文"/>
    <w:basedOn w:val="1"/>
    <w:autoRedefine/>
    <w:qFormat/>
    <w:uiPriority w:val="0"/>
    <w:pPr>
      <w:widowControl/>
      <w:ind w:firstLine="560" w:firstLineChars="200"/>
    </w:pPr>
    <w:rPr>
      <w:rFonts w:hint="eastAsia" w:cs="宋体"/>
      <w:szCs w:val="28"/>
    </w:rPr>
  </w:style>
  <w:style w:type="paragraph" w:customStyle="1" w:styleId="26">
    <w:name w:val="年报图目录"/>
    <w:basedOn w:val="4"/>
    <w:next w:val="1"/>
    <w:autoRedefine/>
    <w:qFormat/>
    <w:uiPriority w:val="0"/>
    <w:pPr>
      <w:keepNext w:val="0"/>
      <w:keepLines w:val="0"/>
      <w:adjustRightInd w:val="0"/>
      <w:snapToGrid w:val="0"/>
      <w:spacing w:before="40" w:after="40" w:line="360" w:lineRule="auto"/>
      <w:jc w:val="center"/>
    </w:pPr>
    <w:rPr>
      <w:rFonts w:hint="eastAsia"/>
      <w:color w:val="000000"/>
      <w:sz w:val="21"/>
      <w:szCs w:val="21"/>
    </w:rPr>
  </w:style>
  <w:style w:type="character" w:customStyle="1" w:styleId="27">
    <w:name w:val="font11"/>
    <w:basedOn w:val="19"/>
    <w:autoRedefine/>
    <w:qFormat/>
    <w:uiPriority w:val="0"/>
    <w:rPr>
      <w:rFonts w:hint="eastAsia" w:ascii="楷体" w:hAnsi="楷体" w:eastAsia="楷体" w:cs="楷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2" Type="http://schemas.openxmlformats.org/officeDocument/2006/relationships/fontTable" Target="fontTable.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header" Target="header2.xml"/><Relationship Id="rId39" Type="http://schemas.openxmlformats.org/officeDocument/2006/relationships/image" Target="media/image31.png"/><Relationship Id="rId38" Type="http://schemas.openxmlformats.org/officeDocument/2006/relationships/image" Target="media/image30.png"/><Relationship Id="rId37" Type="http://schemas.openxmlformats.org/officeDocument/2006/relationships/image" Target="media/image29.png"/><Relationship Id="rId36" Type="http://schemas.openxmlformats.org/officeDocument/2006/relationships/image" Target="media/image28.jpeg"/><Relationship Id="rId35" Type="http://schemas.openxmlformats.org/officeDocument/2006/relationships/chart" Target="charts/chart2.xml"/><Relationship Id="rId34" Type="http://schemas.openxmlformats.org/officeDocument/2006/relationships/image" Target="media/image27.jpeg"/><Relationship Id="rId33" Type="http://schemas.openxmlformats.org/officeDocument/2006/relationships/image" Target="media/image26.jpeg"/><Relationship Id="rId32" Type="http://schemas.openxmlformats.org/officeDocument/2006/relationships/image" Target="media/image25.jpeg"/><Relationship Id="rId31" Type="http://schemas.openxmlformats.org/officeDocument/2006/relationships/image" Target="media/image24.jpeg"/><Relationship Id="rId30" Type="http://schemas.openxmlformats.org/officeDocument/2006/relationships/image" Target="media/image23.png"/><Relationship Id="rId3" Type="http://schemas.openxmlformats.org/officeDocument/2006/relationships/header" Target="header1.xml"/><Relationship Id="rId29" Type="http://schemas.openxmlformats.org/officeDocument/2006/relationships/image" Target="media/image22.jpeg"/><Relationship Id="rId28" Type="http://schemas.openxmlformats.org/officeDocument/2006/relationships/image" Target="media/image21.jpeg"/><Relationship Id="rId27" Type="http://schemas.openxmlformats.org/officeDocument/2006/relationships/image" Target="media/image20.png"/><Relationship Id="rId26" Type="http://schemas.openxmlformats.org/officeDocument/2006/relationships/image" Target="media/image19.jpeg"/><Relationship Id="rId25" Type="http://schemas.openxmlformats.org/officeDocument/2006/relationships/image" Target="media/image18.jpeg"/><Relationship Id="rId24" Type="http://schemas.openxmlformats.org/officeDocument/2006/relationships/image" Target="media/image17.jpeg"/><Relationship Id="rId23" Type="http://schemas.openxmlformats.org/officeDocument/2006/relationships/image" Target="media/image16.jpeg"/><Relationship Id="rId22" Type="http://schemas.openxmlformats.org/officeDocument/2006/relationships/image" Target="media/image15.jpeg"/><Relationship Id="rId21" Type="http://schemas.openxmlformats.org/officeDocument/2006/relationships/image" Target="media/image14.jpeg"/><Relationship Id="rId20" Type="http://schemas.openxmlformats.org/officeDocument/2006/relationships/chart" Target="charts/chart1.xml"/><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E:\&#35745;&#21010;&#24635;&#32467;\2023&#24180;\&#24180;&#24230;&#36136;&#37327;&#25253;&#21578;\2021-2023&#24180;&#27605;&#19994;&#29983;&#21435;&#21521;&#33853;&#23454;&#29575;.xlsx" TargetMode="External"/></Relationships>
</file>

<file path=word/charts/_rels/chart2.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file:///C:\Users\HP\Desktop\&#26032;&#24314;%20Microsoft%20Excel%20&#24037;&#20316;&#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Tabelle1!$B$1</c:f>
              <c:strCache>
                <c:ptCount val="1"/>
                <c:pt idx="0">
                  <c:v>毕业去向落实率</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Tabelle1!$A$2:$A$4</c:f>
              <c:strCache>
                <c:ptCount val="3"/>
                <c:pt idx="0">
                  <c:v>2021年</c:v>
                </c:pt>
                <c:pt idx="1">
                  <c:v>2022年</c:v>
                </c:pt>
                <c:pt idx="2">
                  <c:v>2023年</c:v>
                </c:pt>
              </c:strCache>
            </c:strRef>
          </c:cat>
          <c:val>
            <c:numRef>
              <c:f>Tabelle1!$B$2:$B$4</c:f>
              <c:numCache>
                <c:formatCode>0.00%</c:formatCode>
                <c:ptCount val="3"/>
                <c:pt idx="0">
                  <c:v>0.988</c:v>
                </c:pt>
                <c:pt idx="1">
                  <c:v>0.9859</c:v>
                </c:pt>
                <c:pt idx="2">
                  <c:v>0.9856</c:v>
                </c:pt>
              </c:numCache>
            </c:numRef>
          </c:val>
        </c:ser>
        <c:dLbls>
          <c:showLegendKey val="0"/>
          <c:showVal val="1"/>
          <c:showCatName val="0"/>
          <c:showSerName val="0"/>
          <c:showPercent val="0"/>
          <c:showBubbleSize val="0"/>
        </c:dLbls>
        <c:gapWidth val="219"/>
        <c:overlap val="-27"/>
        <c:axId val="1079927983"/>
        <c:axId val="1213574031"/>
      </c:barChart>
      <c:catAx>
        <c:axId val="10799279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13574031"/>
        <c:crosses val="autoZero"/>
        <c:auto val="1"/>
        <c:lblAlgn val="ctr"/>
        <c:lblOffset val="100"/>
        <c:noMultiLvlLbl val="0"/>
      </c:catAx>
      <c:valAx>
        <c:axId val="1213574031"/>
        <c:scaling>
          <c:orientation val="minMax"/>
          <c:max val="1"/>
          <c:min val="0.98"/>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79927983"/>
        <c:crosses val="autoZero"/>
        <c:crossBetween val="between"/>
        <c:majorUnit val="0.0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c:explosion val="0"/>
          <c:dPt>
            <c:idx val="0"/>
            <c:bubble3D val="0"/>
            <c:spPr>
              <a:solidFill>
                <a:srgbClr val="4472C4"/>
              </a:solidFill>
              <a:ln w="19050">
                <a:solidFill>
                  <a:sysClr val="window" lastClr="FFFFFF"/>
                </a:solidFill>
              </a:ln>
              <a:effectLst/>
            </c:spPr>
          </c:dPt>
          <c:dPt>
            <c:idx val="1"/>
            <c:bubble3D val="0"/>
            <c:spPr>
              <a:solidFill>
                <a:srgbClr val="ED7D31"/>
              </a:solidFill>
              <a:ln w="19050">
                <a:solidFill>
                  <a:sysClr val="window" lastClr="FFFFFF"/>
                </a:solidFill>
              </a:ln>
              <a:effectLst/>
            </c:spPr>
          </c:dPt>
          <c:dPt>
            <c:idx val="2"/>
            <c:bubble3D val="0"/>
            <c:spPr>
              <a:solidFill>
                <a:srgbClr val="A5A5A5"/>
              </a:solidFill>
              <a:ln w="19050">
                <a:solidFill>
                  <a:sysClr val="window" lastClr="FFFFFF"/>
                </a:solidFill>
              </a:ln>
              <a:effectLst/>
            </c:spPr>
          </c:dPt>
          <c:dPt>
            <c:idx val="3"/>
            <c:bubble3D val="0"/>
            <c:spPr>
              <a:solidFill>
                <a:srgbClr val="FFC000"/>
              </a:solidFill>
              <a:ln w="19050">
                <a:solidFill>
                  <a:sysClr val="window" lastClr="FFFFFF"/>
                </a:solidFill>
              </a:ln>
              <a:effectLst/>
            </c:spPr>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lang="zh-CN" sz="900" b="0" i="0" u="none" strike="noStrike" kern="1200" baseline="0">
                    <a:solidFill>
                      <a:sysClr val="windowText" lastClr="000000">
                        <a:lumMod val="65000"/>
                        <a:lumOff val="35000"/>
                      </a:sysClr>
                    </a:solidFill>
                    <a:latin typeface="+mn-lt"/>
                    <a:ea typeface="+mn-ea"/>
                    <a:cs typeface="+mn-cs"/>
                  </a:defRPr>
                </a:pPr>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layout/>
                <c15:showLeaderLines val="0"/>
                <c15:leaderLines>
                  <c:spPr>
                    <a:ln w="9525" cap="flat" cmpd="sng" algn="ctr">
                      <a:solidFill>
                        <a:sysClr val="windowText" lastClr="000000">
                          <a:lumMod val="35000"/>
                          <a:lumOff val="65000"/>
                        </a:sysClr>
                      </a:solidFill>
                      <a:round/>
                    </a:ln>
                    <a:effectLst/>
                  </c:spPr>
                </c15:leaderLines>
              </c:ext>
            </c:extLst>
          </c:dLbls>
          <c:cat>
            <c:strRef>
              <c:f>Sheet1!$B$1:$E$1</c:f>
              <c:strCache>
                <c:ptCount val="4"/>
                <c:pt idx="0">
                  <c:v>烟台</c:v>
                </c:pt>
                <c:pt idx="1">
                  <c:v>威海</c:v>
                </c:pt>
                <c:pt idx="2">
                  <c:v>青岛</c:v>
                </c:pt>
                <c:pt idx="3">
                  <c:v>其他</c:v>
                </c:pt>
              </c:strCache>
            </c:strRef>
          </c:cat>
          <c:val>
            <c:numRef>
              <c:f>Sheet1!$B$2:$E$2</c:f>
              <c:numCache>
                <c:formatCode>General</c:formatCode>
                <c:ptCount val="4"/>
                <c:pt idx="0">
                  <c:v>26</c:v>
                </c:pt>
                <c:pt idx="1">
                  <c:v>7</c:v>
                </c:pt>
                <c:pt idx="2">
                  <c:v>17</c:v>
                </c:pt>
                <c:pt idx="3">
                  <c:v>3</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ysClr val="windowText" lastClr="000000">
                  <a:lumMod val="65000"/>
                  <a:lumOff val="35000"/>
                </a:sysClr>
              </a:solidFill>
              <a:latin typeface="+mn-lt"/>
              <a:ea typeface="+mn-ea"/>
              <a:cs typeface="+mn-cs"/>
            </a:defRPr>
          </a:pPr>
        </a:p>
      </c:txPr>
    </c:legend>
    <c:plotVisOnly val="1"/>
    <c:dispBlanksAs val="gap"/>
    <c:showDLblsOverMax val="0"/>
  </c:chart>
  <c:spPr>
    <a:solidFill>
      <a:sysClr val="window" lastClr="FFFFFF"/>
    </a:solidFill>
    <a:ln w="9525" cap="flat" cmpd="sng" algn="ctr">
      <a:solidFill>
        <a:sysClr val="windowText" lastClr="000000">
          <a:lumMod val="15000"/>
          <a:lumOff val="85000"/>
        </a:sys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ysClr val="windowText" lastClr="000000">
        <a:lumMod val="65000"/>
        <a:lumOff val="35000"/>
      </a:sysClr>
    </cs:fontRef>
    <cs:defRPr sz="1000" kern="1200"/>
  </cs:axisTitle>
  <cs:categoryAxis>
    <cs:lnRef idx="0"/>
    <cs:fillRef idx="0"/>
    <cs:effectRef idx="0"/>
    <cs:fontRef idx="minor">
      <a:sysClr val="windowText" lastClr="000000">
        <a:lumMod val="65000"/>
        <a:lumOff val="35000"/>
      </a:sysClr>
    </cs:fontRef>
    <cs:spPr>
      <a:ln w="9525" cap="flat" cmpd="sng" algn="ctr">
        <a:solidFill>
          <a:sysClr val="windowText" lastClr="000000">
            <a:lumMod val="15000"/>
            <a:lumOff val="85000"/>
          </a:sysClr>
        </a:solidFill>
        <a:round/>
      </a:ln>
    </cs:spPr>
    <cs:defRPr sz="900" kern="1200"/>
  </cs:categoryAxis>
  <cs:chartArea mods="allowNoFillOverride allowNoLineOverride">
    <cs:lnRef idx="0"/>
    <cs:fillRef idx="0"/>
    <cs:effectRef idx="0"/>
    <cs:fontRef idx="minor">
      <a:sysClr val="windowText" lastClr="000000"/>
    </cs:fontRef>
    <cs:spPr>
      <a:solidFill>
        <a:sysClr val="window" lastClr="FFFFFF"/>
      </a:solidFill>
      <a:ln w="9525" cap="flat" cmpd="sng" algn="ctr">
        <a:solidFill>
          <a:sysClr val="windowText" lastClr="000000">
            <a:lumMod val="15000"/>
            <a:lumOff val="85000"/>
          </a:sysClr>
        </a:solidFill>
        <a:round/>
      </a:ln>
    </cs:spPr>
    <cs:defRPr sz="900" kern="1200"/>
  </cs:chartArea>
  <cs:dataLabel>
    <cs:lnRef idx="0"/>
    <cs:fillRef idx="0"/>
    <cs:effectRef idx="0"/>
    <cs:fontRef idx="minor">
      <a:sysClr val="windowText" lastClr="000000">
        <a:lumMod val="75000"/>
        <a:lumOff val="25000"/>
      </a:sysClr>
    </cs:fontRef>
    <cs:defRPr sz="900" kern="1200"/>
  </cs:dataLabel>
  <cs:dataLabelCallout>
    <cs:lnRef idx="0"/>
    <cs:fillRef idx="0"/>
    <cs:effectRef idx="0"/>
    <cs:fontRef idx="minor">
      <a:sysClr val="windowText" lastClr="000000">
        <a:lumMod val="65000"/>
        <a:lumOff val="35000"/>
      </a:sysClr>
    </cs:fontRef>
    <cs:spPr>
      <a:solidFill>
        <a:sysClr val="window" lastClr="FFFFFF"/>
      </a:solidFill>
      <a:ln>
        <a:solidFill>
          <a:sysClr val="windowText" lastClr="000000">
            <a:lumMod val="25000"/>
            <a:lumOff val="75000"/>
          </a:sys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ysClr val="windowText" lastClr="000000"/>
    </cs:fontRef>
    <cs:spPr>
      <a:ln w="19050">
        <a:solidFill>
          <a:sysClr val="window" lastClr="FFFFFF"/>
        </a:solidFill>
      </a:ln>
    </cs:spPr>
  </cs:dataPoint>
  <cs:dataPoint3D>
    <cs:lnRef idx="0"/>
    <cs:fillRef idx="1">
      <cs:styleClr val="auto"/>
    </cs:fillRef>
    <cs:effectRef idx="0"/>
    <cs:fontRef idx="minor">
      <a:sysClr val="windowText" lastClr="000000"/>
    </cs:fontRef>
    <cs:spPr>
      <a:ln w="25400">
        <a:solidFill>
          <a:sysClr val="window" lastClr="FFFFFF"/>
        </a:solidFill>
      </a:ln>
    </cs:spPr>
  </cs:dataPoint3D>
  <cs:dataPointLine>
    <cs:lnRef idx="0">
      <cs:styleClr val="auto"/>
    </cs:lnRef>
    <cs:fillRef idx="0"/>
    <cs:effectRef idx="0"/>
    <cs:fontRef idx="minor">
      <a:sysClr val="windowText" lastClr="000000"/>
    </cs:fontRef>
    <cs:spPr>
      <a:ln w="28575" cap="rnd">
        <a:solidFill>
          <a:schemeClr val="phClr"/>
        </a:solidFill>
        <a:round/>
      </a:ln>
    </cs:spPr>
  </cs:dataPointLine>
  <cs:dataPointMarker>
    <cs:lnRef idx="0">
      <cs:styleClr val="auto"/>
    </cs:lnRef>
    <cs:fillRef idx="1">
      <cs:styleClr val="auto"/>
    </cs:fillRef>
    <cs:effectRef idx="0"/>
    <cs:fontRef idx="minor">
      <a:sysClr val="windowText" lastClr="000000"/>
    </cs:fontRef>
    <cs:spPr>
      <a:ln w="9525">
        <a:solidFill>
          <a:schemeClr val="phClr"/>
        </a:solidFill>
      </a:ln>
    </cs:spPr>
  </cs:dataPointMarker>
  <cs:dataPointMarkerLayout symbol="circle" size="5"/>
  <cs:dataPointWireframe>
    <cs:lnRef idx="0">
      <cs:styleClr val="auto"/>
    </cs:lnRef>
    <cs:fillRef idx="0"/>
    <cs:effectRef idx="0"/>
    <cs:fontRef idx="minor">
      <a:sysClr val="windowText" lastClr="000000"/>
    </cs:fontRef>
    <cs:spPr>
      <a:ln w="9525" cap="rnd">
        <a:solidFill>
          <a:schemeClr val="phClr"/>
        </a:solidFill>
        <a:round/>
      </a:ln>
    </cs:spPr>
  </cs:dataPointWireframe>
  <cs:dataTable>
    <cs:lnRef idx="0"/>
    <cs:fillRef idx="0"/>
    <cs:effectRef idx="0"/>
    <cs:fontRef idx="minor">
      <a:sysClr val="windowText" lastClr="000000">
        <a:lumMod val="65000"/>
        <a:lumOff val="35000"/>
      </a:sysClr>
    </cs:fontRef>
    <cs:spPr>
      <a:noFill/>
      <a:ln w="9525" cap="flat" cmpd="sng" algn="ctr">
        <a:solidFill>
          <a:sysClr val="windowText" lastClr="000000">
            <a:lumMod val="15000"/>
            <a:lumOff val="85000"/>
          </a:sysClr>
        </a:solidFill>
        <a:round/>
      </a:ln>
    </cs:spPr>
    <cs:defRPr sz="900" kern="1200"/>
  </cs:dataTable>
  <cs:downBar>
    <cs:lnRef idx="0"/>
    <cs:fillRef idx="0"/>
    <cs:effectRef idx="0"/>
    <cs:fontRef idx="minor">
      <a:sysClr val="windowText" lastClr="000000"/>
    </cs:fontRef>
    <cs:spPr>
      <a:solidFill>
        <a:sysClr val="windowText" lastClr="000000">
          <a:lumMod val="75000"/>
          <a:lumOff val="25000"/>
        </a:sysClr>
      </a:solidFill>
      <a:ln w="9525" cap="flat" cmpd="sng" algn="ctr">
        <a:solidFill>
          <a:sysClr val="windowText" lastClr="000000">
            <a:lumMod val="65000"/>
            <a:lumOff val="35000"/>
          </a:sysClr>
        </a:solidFill>
        <a:round/>
      </a:ln>
    </cs:spPr>
  </cs:downBar>
  <cs:dropLine>
    <cs:lnRef idx="0"/>
    <cs:fillRef idx="0"/>
    <cs:effectRef idx="0"/>
    <cs:fontRef idx="minor">
      <a:sysClr val="windowText" lastClr="000000"/>
    </cs:fontRef>
    <cs:spPr>
      <a:ln w="9525" cap="flat" cmpd="sng" algn="ctr">
        <a:solidFill>
          <a:sysClr val="windowText" lastClr="000000">
            <a:lumMod val="35000"/>
            <a:lumOff val="65000"/>
          </a:sysClr>
        </a:solidFill>
        <a:round/>
      </a:ln>
    </cs:spPr>
  </cs:dropLine>
  <cs:errorBar>
    <cs:lnRef idx="0"/>
    <cs:fillRef idx="0"/>
    <cs:effectRef idx="0"/>
    <cs:fontRef idx="minor">
      <a:sysClr val="windowText" lastClr="000000"/>
    </cs:fontRef>
    <cs:spPr>
      <a:ln w="9525" cap="flat" cmpd="sng" algn="ctr">
        <a:solidFill>
          <a:sysClr val="windowText" lastClr="000000">
            <a:lumMod val="65000"/>
            <a:lumOff val="35000"/>
          </a:sysClr>
        </a:solidFill>
        <a:round/>
      </a:ln>
    </cs:spPr>
  </cs:errorBar>
  <cs:floor>
    <cs:lnRef idx="0"/>
    <cs:fillRef idx="0"/>
    <cs:effectRef idx="0"/>
    <cs:fontRef idx="minor">
      <a:sysClr val="windowText" lastClr="000000"/>
    </cs:fontRef>
    <cs:spPr>
      <a:noFill/>
      <a:ln>
        <a:noFill/>
      </a:ln>
    </cs:spPr>
  </cs:floor>
  <cs:gridlineMajor>
    <cs:lnRef idx="0"/>
    <cs:fillRef idx="0"/>
    <cs:effectRef idx="0"/>
    <cs:fontRef idx="minor">
      <a:sysClr val="windowText" lastClr="000000"/>
    </cs:fontRef>
    <cs:spPr>
      <a:ln w="9525" cap="flat" cmpd="sng" algn="ctr">
        <a:solidFill>
          <a:sysClr val="windowText" lastClr="000000">
            <a:lumMod val="15000"/>
            <a:lumOff val="85000"/>
          </a:sysClr>
        </a:solidFill>
        <a:round/>
      </a:ln>
    </cs:spPr>
  </cs:gridlineMajor>
  <cs:gridlineMinor>
    <cs:lnRef idx="0"/>
    <cs:fillRef idx="0"/>
    <cs:effectRef idx="0"/>
    <cs:fontRef idx="minor">
      <a:sysClr val="windowText" lastClr="000000"/>
    </cs:fontRef>
    <cs:spPr>
      <a:ln w="9525" cap="flat" cmpd="sng" algn="ctr">
        <a:solidFill>
          <a:sysClr val="windowText" lastClr="000000">
            <a:lumMod val="5000"/>
            <a:lumOff val="95000"/>
          </a:sysClr>
        </a:solidFill>
        <a:round/>
      </a:ln>
    </cs:spPr>
  </cs:gridlineMinor>
  <cs:hiLoLine>
    <cs:lnRef idx="0"/>
    <cs:fillRef idx="0"/>
    <cs:effectRef idx="0"/>
    <cs:fontRef idx="minor">
      <a:sysClr val="windowText" lastClr="000000"/>
    </cs:fontRef>
    <cs:spPr>
      <a:ln w="9525" cap="flat" cmpd="sng" algn="ctr">
        <a:solidFill>
          <a:sysClr val="windowText" lastClr="000000">
            <a:lumMod val="50000"/>
            <a:lumOff val="50000"/>
          </a:sysClr>
        </a:solidFill>
        <a:round/>
      </a:ln>
    </cs:spPr>
  </cs:hiLoLine>
  <cs:leaderLine>
    <cs:lnRef idx="0"/>
    <cs:fillRef idx="0"/>
    <cs:effectRef idx="0"/>
    <cs:fontRef idx="minor">
      <a:sysClr val="windowText" lastClr="000000"/>
    </cs:fontRef>
    <cs:spPr>
      <a:ln w="9525" cap="flat" cmpd="sng" algn="ctr">
        <a:solidFill>
          <a:sysClr val="windowText" lastClr="000000">
            <a:lumMod val="35000"/>
            <a:lumOff val="65000"/>
          </a:sysClr>
        </a:solidFill>
        <a:round/>
      </a:ln>
    </cs:spPr>
  </cs:leaderLine>
  <cs:legend>
    <cs:lnRef idx="0"/>
    <cs:fillRef idx="0"/>
    <cs:effectRef idx="0"/>
    <cs:fontRef idx="minor">
      <a:sysClr val="windowText" lastClr="000000">
        <a:lumMod val="65000"/>
        <a:lumOff val="35000"/>
      </a:sysClr>
    </cs:fontRef>
    <cs:defRPr sz="900" kern="1200"/>
  </cs:legend>
  <cs:plotArea mods="allowNoFillOverride allowNoLineOverride">
    <cs:lnRef idx="0"/>
    <cs:fillRef idx="0"/>
    <cs:effectRef idx="0"/>
    <cs:fontRef idx="minor">
      <a:sysClr val="windowText" lastClr="000000"/>
    </cs:fontRef>
  </cs:plotArea>
  <cs:plotArea3D mods="allowNoFillOverride allowNoLineOverride">
    <cs:lnRef idx="0"/>
    <cs:fillRef idx="0"/>
    <cs:effectRef idx="0"/>
    <cs:fontRef idx="minor">
      <a:sysClr val="windowText" lastClr="000000"/>
    </cs:fontRef>
  </cs:plotArea3D>
  <cs:seriesAxis>
    <cs:lnRef idx="0"/>
    <cs:fillRef idx="0"/>
    <cs:effectRef idx="0"/>
    <cs:fontRef idx="minor">
      <a:sysClr val="windowText" lastClr="000000">
        <a:lumMod val="65000"/>
        <a:lumOff val="35000"/>
      </a:sysClr>
    </cs:fontRef>
    <cs:defRPr sz="900" kern="1200"/>
  </cs:seriesAxis>
  <cs:seriesLine>
    <cs:lnRef idx="0"/>
    <cs:fillRef idx="0"/>
    <cs:effectRef idx="0"/>
    <cs:fontRef idx="minor">
      <a:sysClr val="windowText" lastClr="000000"/>
    </cs:fontRef>
    <cs:spPr>
      <a:ln w="9525" cap="flat" cmpd="sng" algn="ctr">
        <a:solidFill>
          <a:sysClr val="windowText" lastClr="000000">
            <a:lumMod val="35000"/>
            <a:lumOff val="65000"/>
          </a:sysClr>
        </a:solidFill>
        <a:round/>
      </a:ln>
    </cs:spPr>
  </cs:seriesLine>
  <cs:title>
    <cs:lnRef idx="0"/>
    <cs:fillRef idx="0"/>
    <cs:effectRef idx="0"/>
    <cs:fontRef idx="minor">
      <a:sysClr val="windowText" lastClr="000000">
        <a:lumMod val="65000"/>
        <a:lumOff val="35000"/>
      </a:sysClr>
    </cs:fontRef>
    <cs:defRPr sz="1400" b="0" kern="1200" spc="0" baseline="0"/>
  </cs:title>
  <cs:trendline>
    <cs:lnRef idx="0">
      <cs:styleClr val="auto"/>
    </cs:lnRef>
    <cs:fillRef idx="0"/>
    <cs:effectRef idx="0"/>
    <cs:fontRef idx="minor">
      <a:sysClr val="windowText" lastClr="000000"/>
    </cs:fontRef>
    <cs:spPr>
      <a:ln w="19050" cap="rnd">
        <a:solidFill>
          <a:schemeClr val="phClr"/>
        </a:solidFill>
        <a:prstDash val="sysDot"/>
      </a:ln>
    </cs:spPr>
  </cs:trendline>
  <cs:trendlineLabel>
    <cs:lnRef idx="0"/>
    <cs:fillRef idx="0"/>
    <cs:effectRef idx="0"/>
    <cs:fontRef idx="minor">
      <a:sysClr val="windowText" lastClr="000000">
        <a:lumMod val="65000"/>
        <a:lumOff val="35000"/>
      </a:sysClr>
    </cs:fontRef>
    <cs:defRPr sz="900" kern="1200"/>
  </cs:trendlineLabel>
  <cs:upBar>
    <cs:lnRef idx="0"/>
    <cs:fillRef idx="0"/>
    <cs:effectRef idx="0"/>
    <cs:fontRef idx="minor">
      <a:sysClr val="windowText" lastClr="000000"/>
    </cs:fontRef>
    <cs:spPr>
      <a:solidFill>
        <a:sysClr val="window" lastClr="FFFFFF"/>
      </a:solidFill>
      <a:ln w="9525" cap="flat" cmpd="sng" algn="ctr">
        <a:solidFill>
          <a:sysClr val="windowText" lastClr="000000">
            <a:lumMod val="65000"/>
            <a:lumOff val="35000"/>
          </a:sysClr>
        </a:solidFill>
        <a:round/>
      </a:ln>
    </cs:spPr>
  </cs:upBar>
  <cs:valueAxis>
    <cs:lnRef idx="0"/>
    <cs:fillRef idx="0"/>
    <cs:effectRef idx="0"/>
    <cs:fontRef idx="minor">
      <a:sysClr val="windowText" lastClr="000000">
        <a:lumMod val="65000"/>
        <a:lumOff val="35000"/>
      </a:sysClr>
    </cs:fontRef>
    <cs:defRPr sz="900" kern="1200"/>
  </cs:valueAxis>
  <cs:wall>
    <cs:lnRef idx="0"/>
    <cs:fillRef idx="0"/>
    <cs:effectRef idx="0"/>
    <cs:fontRef idx="minor">
      <a:sysClr val="windowText" lastClr="000000"/>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HP</Company>
  <Pages>74</Pages>
  <Words>32289</Words>
  <Characters>33867</Characters>
  <Lines>213</Lines>
  <Paragraphs>60</Paragraphs>
  <TotalTime>26</TotalTime>
  <ScaleCrop>false</ScaleCrop>
  <LinksUpToDate>false</LinksUpToDate>
  <CharactersWithSpaces>37059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2023-12-31T02:24:00Z</dcterms:created>
  <dc:creator>钟烤晾梁赂</dc:creator>
  <cp:lastModifiedBy>HP</cp:lastModifiedBy>
  <cp:lastPrinted>2024-01-25T01:59:22Z</cp:lastPrinted>
  <dcterms:modified xsi:type="dcterms:W3CDTF">2024-01-25T02:06:18Z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437822E424454AC89A23E39770D2BCC9_13</vt:lpwstr>
  </property>
</Properties>
</file>