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仿宋_GB2312" w:hAnsi="仿宋_GB2312" w:eastAsia="仿宋_GB2312" w:cs="仿宋_GB2312"/>
          <w:i w:val="0"/>
          <w:iCs w:val="0"/>
          <w:caps w:val="0"/>
          <w:color w:val="191919"/>
          <w:spacing w:val="8"/>
          <w:sz w:val="36"/>
          <w:szCs w:val="36"/>
          <w:shd w:val="clear" w:fill="FFFFFF"/>
        </w:rPr>
      </w:pPr>
      <w:r>
        <w:rPr>
          <w:rStyle w:val="5"/>
          <w:rFonts w:hint="eastAsia" w:ascii="仿宋_GB2312" w:hAnsi="仿宋_GB2312" w:eastAsia="仿宋_GB2312" w:cs="仿宋_GB2312"/>
          <w:i w:val="0"/>
          <w:iCs w:val="0"/>
          <w:caps w:val="0"/>
          <w:color w:val="191919"/>
          <w:spacing w:val="8"/>
          <w:sz w:val="36"/>
          <w:szCs w:val="36"/>
          <w:shd w:val="clear" w:fill="FFFFFF"/>
        </w:rPr>
        <w:t>国家发展改革委等部门印发《养老托育服务业纾困扶持若干政策措施》的通知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仿宋_GB2312" w:hAnsi="仿宋_GB2312" w:eastAsia="仿宋_GB2312" w:cs="仿宋_GB2312"/>
          <w:i w:val="0"/>
          <w:iCs w:val="0"/>
          <w:caps w:val="0"/>
          <w:color w:val="191919"/>
          <w:spacing w:val="8"/>
          <w:sz w:val="36"/>
          <w:szCs w:val="36"/>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center"/>
        <w:textAlignment w:val="auto"/>
        <w:rPr>
          <w:rFonts w:hint="eastAsia" w:ascii="仿宋_GB2312" w:hAnsi="仿宋_GB2312" w:eastAsia="仿宋_GB2312" w:cs="仿宋_GB2312"/>
          <w:i w:val="0"/>
          <w:iCs w:val="0"/>
          <w:caps w:val="0"/>
          <w:color w:val="191919"/>
          <w:spacing w:val="8"/>
          <w:sz w:val="28"/>
          <w:szCs w:val="28"/>
        </w:rPr>
      </w:pPr>
      <w:r>
        <w:rPr>
          <w:rFonts w:hint="eastAsia" w:ascii="仿宋_GB2312" w:hAnsi="仿宋_GB2312" w:eastAsia="仿宋_GB2312" w:cs="仿宋_GB2312"/>
          <w:i w:val="0"/>
          <w:iCs w:val="0"/>
          <w:caps w:val="0"/>
          <w:color w:val="191919"/>
          <w:spacing w:val="8"/>
          <w:sz w:val="28"/>
          <w:szCs w:val="28"/>
          <w:shd w:val="clear" w:fill="FFFFFF"/>
        </w:rPr>
        <w:t>发改财金〔2022〕1356号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各省、自治区、直辖市及计划单列市人民政府，新疆生产建设兵团，国务院各部门、各直属机构：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促进养老托育服务健康发展，解决好“一老一小”问题，对保障和改善民生、促进人口长期均衡发展具有重要意义。受新冠肺炎疫情等因素影响，养老托育服务业面临较多困难。为切实推动养老托育服务业渡过难关、恢复发展，更好满足人民群众日益增长的养老托育服务需求，经国务院同意，现提出以下政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i w:val="0"/>
          <w:iCs w:val="0"/>
          <w:caps w:val="0"/>
          <w:color w:val="222222"/>
          <w:spacing w:val="8"/>
          <w:sz w:val="28"/>
          <w:szCs w:val="28"/>
        </w:rPr>
      </w:pPr>
      <w:r>
        <w:rPr>
          <w:rStyle w:val="5"/>
          <w:rFonts w:hint="eastAsia" w:ascii="仿宋_GB2312" w:hAnsi="仿宋_GB2312" w:eastAsia="仿宋_GB2312" w:cs="仿宋_GB2312"/>
          <w:i w:val="0"/>
          <w:iCs w:val="0"/>
          <w:caps w:val="0"/>
          <w:color w:val="222222"/>
          <w:spacing w:val="8"/>
          <w:sz w:val="28"/>
          <w:szCs w:val="28"/>
          <w:shd w:val="clear" w:fill="FFFFFF"/>
        </w:rPr>
        <w:t>一、房租减免措施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一）养老服务机构和托育服务机构（以下简称养老托育服务机构）属于中小微企业和个体工商户范畴、承租国有房屋的，一律免除租金到2022年底。其中承租国有经营用房的，各地区可在此基础上研究出台进一步减免措施。教育、科研等系统的有关单位和机构出租房屋的，鼓励其对养老托育服务小微企业和个体工商户进行租金减免。出租人减免租金的可按规定减免当年房产税、城镇土地使用税，对减免养老托育小微企业和个体工商户承租人房屋租金的出租人，鼓励国有银行按照其资质水平和风险水平给予优惠利率质押贷款等支持。因减免租金影响国有企事业单位业绩的，在考核中根据实际情况予以认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（二）鼓励非国有房屋租赁主体在平等协商的基础上合理分担疫情带来的损失。非国有房屋减免租金的出租人可同等享受上述各项政策优惠。有条件的地方要采取管用举措，支持非国有房屋出租人减免租金。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三）鼓励各地探索将街道社区公共服务设施、国有房屋等物业以适当方式转交政府集中改造利用，免费或低价提供场地，委托专业化养老托育服务机构经营。对存在房屋租金支付困难的养老托育服务机构，鼓励合同双方通过平等协商方式延期收取。探索允许空置公租房免费提供给社会力量供其在社区为老年人开展助餐助行、日间照料、康复护理、老年教育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i w:val="0"/>
          <w:iCs w:val="0"/>
          <w:caps w:val="0"/>
          <w:color w:val="222222"/>
          <w:spacing w:val="8"/>
          <w:sz w:val="28"/>
          <w:szCs w:val="28"/>
        </w:rPr>
      </w:pPr>
      <w:r>
        <w:rPr>
          <w:rStyle w:val="5"/>
          <w:rFonts w:hint="eastAsia" w:ascii="仿宋_GB2312" w:hAnsi="仿宋_GB2312" w:eastAsia="仿宋_GB2312" w:cs="仿宋_GB2312"/>
          <w:i w:val="0"/>
          <w:iCs w:val="0"/>
          <w:caps w:val="0"/>
          <w:color w:val="222222"/>
          <w:spacing w:val="8"/>
          <w:sz w:val="28"/>
          <w:szCs w:val="28"/>
          <w:shd w:val="clear" w:fill="FFFFFF"/>
        </w:rPr>
        <w:t>二、税费减免措施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四）2022年，各地对符合条件的养老托育服务机构按照50%税额顶格减征资源税、城市维护建设税、房产税、城镇土地使用税、印花税（不含证券交易印花税）、耕地占用税和教育费附加、地方教育附加等“六税两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（五）养老托育服务机构可按规定享受《关于养老、托育、家政等社区家庭服务业税费优惠政策的公告》（财政部 税务总局 发展改革委 民政部 商务部 卫生健康委公告2019年第76号）规定的税费优惠政策。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（六）养老托育行业纳税人可按规定享受按月全额退还增量留抵税额、一次性全额退还存量留抵税额的留抵退税政策。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七）严格落实养老托育服务机构用电、用水、用气、用热按居民生活类价格执行的政策，鼓励地方2022年视情给予进一步减免优惠。落实对受疫情影响封闭管理的养老托育服务机构用电、用水、用气“欠费不停供”政策，设立6个月费用缓缴期，并可根据本地实际进一步延长，缓缴期间免收欠费滞纳金。养老托育服务机构申请办理电、水、气、热等业务，实行限时办结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i w:val="0"/>
          <w:iCs w:val="0"/>
          <w:caps w:val="0"/>
          <w:color w:val="222222"/>
          <w:spacing w:val="8"/>
          <w:sz w:val="28"/>
          <w:szCs w:val="28"/>
        </w:rPr>
      </w:pPr>
      <w:r>
        <w:rPr>
          <w:rStyle w:val="5"/>
          <w:rFonts w:hint="eastAsia" w:ascii="仿宋_GB2312" w:hAnsi="仿宋_GB2312" w:eastAsia="仿宋_GB2312" w:cs="仿宋_GB2312"/>
          <w:i w:val="0"/>
          <w:iCs w:val="0"/>
          <w:caps w:val="0"/>
          <w:color w:val="222222"/>
          <w:spacing w:val="8"/>
          <w:sz w:val="28"/>
          <w:szCs w:val="28"/>
          <w:shd w:val="clear" w:fill="FFFFFF"/>
        </w:rPr>
        <w:t>三、社会保险支持措施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（八）延续实施阶段性降低失业保险、工伤保险费率政策。对不裁员、少裁员的养老托育服务机构，实施普惠性失业保险稳岗返还政策。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九）受疫情影响经营出现暂时困难的养老托育服务机构，可申请阶段性缓缴养老保险、失业保险、工伤保险单位缴费部分，缓缴期间免收滞纳金。对符合条件的养老托育服务机构，“免申即享”缓缴职工医保单位缴费3个月，缓缴期间免收滞纳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十）以个人身份参加企业职工基本养老保险的养老托育服务机构从业人员、养老服务从业人员等各类灵活就业人员，2022年缴纳费款确有困难的，可自愿暂缓缴费，2022年未缴费月度可于2023年底前进行补缴，缴费基数在2023年当地个人缴费基数上下限范围内自主选择，缴费年限累计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i w:val="0"/>
          <w:iCs w:val="0"/>
          <w:caps w:val="0"/>
          <w:color w:val="222222"/>
          <w:spacing w:val="8"/>
          <w:sz w:val="28"/>
          <w:szCs w:val="28"/>
        </w:rPr>
      </w:pPr>
      <w:r>
        <w:rPr>
          <w:rStyle w:val="5"/>
          <w:rFonts w:hint="eastAsia" w:ascii="仿宋_GB2312" w:hAnsi="仿宋_GB2312" w:eastAsia="仿宋_GB2312" w:cs="仿宋_GB2312"/>
          <w:i w:val="0"/>
          <w:iCs w:val="0"/>
          <w:caps w:val="0"/>
          <w:color w:val="222222"/>
          <w:spacing w:val="8"/>
          <w:sz w:val="28"/>
          <w:szCs w:val="28"/>
          <w:shd w:val="clear" w:fill="FFFFFF"/>
        </w:rPr>
        <w:t>四、金融支持措施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（十一）开展普惠养老专项再贷款试点，支持金融机构通过融资信用服务平台网络向普惠养老服务机构提供贷款，根据试点情况，在对政策进行评估完善后进一步扩大试点范围。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十二）引导商业银行等金融机构继续按市场化原则与养老托育领域的中小微企业（含中小微企业主）和个体工商户自主协商，对其贷款实施延期还本付息，努力做到应延尽延，延期还本付息日期原则上不超过2022年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（十三）鼓励地方结合财力实际，给予养老托育服务机构贷款贴息支持，缓解养老托育服务机构融资困难。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（十四）鼓励政府性融资担保机构按市场化原则为养老托育服务机构提供融资增信支持，积极为受疫情影响企业提供融资担保支持。支持地方结合财力实际向政府性融资担保机构注资、提供融资担保费用补贴。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十五）养老服务机构的综合责任保险承保机构，2022年对养老服务机构提升理赔效率、应赔尽赔。鼓励地方通过政府购买服务，按照竞争择优原则，为托育服务机构提供相关保险。对2022年被列为疫情中高风险区所在的县级行政区域内的养老托育服务机构，鼓励保险机构在风险可控、市场化和商业自愿前提下，根据实际情况适当延长保单到期日或延期收取保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（十六）支持符合条件的养老企业发行公司信用类债券，拓宽养老企业多元化融资渠道。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i w:val="0"/>
          <w:iCs w:val="0"/>
          <w:caps w:val="0"/>
          <w:color w:val="222222"/>
          <w:spacing w:val="8"/>
          <w:sz w:val="28"/>
          <w:szCs w:val="28"/>
        </w:rPr>
      </w:pPr>
      <w:r>
        <w:rPr>
          <w:rStyle w:val="5"/>
          <w:rFonts w:hint="eastAsia" w:ascii="仿宋_GB2312" w:hAnsi="仿宋_GB2312" w:eastAsia="仿宋_GB2312" w:cs="仿宋_GB2312"/>
          <w:i w:val="0"/>
          <w:iCs w:val="0"/>
          <w:caps w:val="0"/>
          <w:color w:val="222222"/>
          <w:spacing w:val="8"/>
          <w:sz w:val="28"/>
          <w:szCs w:val="28"/>
          <w:shd w:val="clear" w:fill="FFFFFF"/>
        </w:rPr>
        <w:t>五、防疫支持措施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（十七）地方各级人民政府应在物资调配、转运隔离、医疗救治等疫情防控工作部署方面对养老托育服务机构予以倾斜，提供技术支持和必要保障。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十八）地方各级人民政府根据疫情防控规定组织辖区内养老托育服务机构定期开展核酸检测，并视情况增加检测频次。养老托育服务机构按规定储备必备防疫物资，引导公益慈善组织为养老托育服务机构捐赠防疫物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（十九）对因疫情防控要求实施封闭管理、无法正常运营的养老托育服务机构的防疫物资、消杀支出，地方人民政府可给予适当支持。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（二十）地方各级民政部门视疫情情况，除涉及安全管理情况外，适度考虑疫情对养老服务机构满意度评价的影响，合理调整运营补贴发放条件，推动及时足额发放运营补贴。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i w:val="0"/>
          <w:iCs w:val="0"/>
          <w:caps w:val="0"/>
          <w:color w:val="222222"/>
          <w:spacing w:val="8"/>
          <w:sz w:val="28"/>
          <w:szCs w:val="28"/>
        </w:rPr>
      </w:pPr>
      <w:r>
        <w:rPr>
          <w:rStyle w:val="5"/>
          <w:rFonts w:hint="eastAsia" w:ascii="仿宋_GB2312" w:hAnsi="仿宋_GB2312" w:eastAsia="仿宋_GB2312" w:cs="仿宋_GB2312"/>
          <w:i w:val="0"/>
          <w:iCs w:val="0"/>
          <w:caps w:val="0"/>
          <w:color w:val="222222"/>
          <w:spacing w:val="8"/>
          <w:sz w:val="28"/>
          <w:szCs w:val="28"/>
          <w:shd w:val="clear" w:fill="FFFFFF"/>
        </w:rPr>
        <w:t>六、其他支持措施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二十一）中央预算内投资加大对养老托育设施建设支持力度，将养老托育设施建设项目纳入地方政府专项债券支持范围。鼓励各地优先通过公建民营方式，引导运营能力强的机构参与养老托育设施建设和运营，减轻养老托育服务机构建设投入成本，提升服务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二十二）地方各级人民政府组织心理医生、社会工作者等团队，通过现场或视频方式，根据需要及时为不具备心理咨询条件的养老服务机构提供心理疏导服务，帮助缓解入住老年人及员工因长期封闭出现的焦虑等心理健康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（二十三）鼓励餐饮企业为不具备餐饮自制能力的养老服务机构和居家养老的老年人提供助餐服务，地方可结合实际因地制宜对老年人助餐服务给予适当支持。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（二十四）鼓励家政企业积极参与规范化居家上门养老托育服务，有效提升社区居家养老托育服务水平。鼓励地方探索对参与养老托育服务的家政企业给予适当支持。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二十五）支持养老托育服务机构探索新业态、发展新模式。地方各级人民政府引导养老托育服务机构线上线下融合发展，支持养老领域企业发展智慧养老模式，帮助对接互联网医疗、康复辅助器具制造等资源，提供智慧化服务；支持托育服务机构创新服务形式，发展互联网直播互动式家庭育儿服务，鼓励开发婴幼儿养育课程、父母课堂等，拓展线上服务。有条件的地方可结合实际探索发放养老托育服务消费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（二十六）支持养老托育服务机构依托职业院校共建产教融合实训基地，中央预算内投资按照“十四五”教育强国推进工程有关要求予以支持。探索工学一体化的培训模式，推动解决养老托育行业用工难问题。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各地区要结合实际情况和养老托育服务业领域特点，抓好政策贯彻落实，明确各项政策措施申请条件和实施路径，充分发挥全国一体化政务服务平台“助企纾困服务专区”等数字化平台作用，及时跟踪研判相关困难行业恢复情况，出台有针对性的专项配套支持政策，确保政策有效传导至市场主体。各有关部门要各负其责、加强配合，及时协调解决政策落实中的难点堵点问题，主动回应社会关切。国家发展改革委、民政部、国家卫生健康委等部门牵头统筹协调，会同相关方面做好政策解读和宣传引导，加大力度推动政策措施细化落实，不断做好行业运行形势分析和政策储备研究。充分发挥行业组织桥梁纽带作用，做好相关指导服务工作，反馈行业发展共性问题和政策落实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both"/>
        <w:textAlignment w:val="auto"/>
        <w:rPr>
          <w:rFonts w:hint="eastAsia" w:ascii="仿宋_GB2312" w:hAnsi="仿宋_GB2312" w:eastAsia="仿宋_GB2312" w:cs="仿宋_GB2312"/>
          <w:i w:val="0"/>
          <w:iCs w:val="0"/>
          <w:caps w:val="0"/>
          <w:color w:val="222222"/>
          <w:spacing w:val="8"/>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国家发展改革委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教  育  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科  技  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民  政  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财  政  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人力资源社会保障部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住房城乡建设部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卫 生 健 康 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人 民 银 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国务院国资委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税 务 总 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市场监管总局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i w:val="0"/>
          <w:iCs w:val="0"/>
          <w:caps w:val="0"/>
          <w:color w:val="222222"/>
          <w:spacing w:val="8"/>
          <w:sz w:val="28"/>
          <w:szCs w:val="28"/>
        </w:rPr>
      </w:pPr>
      <w:r>
        <w:rPr>
          <w:rFonts w:hint="eastAsia" w:ascii="仿宋_GB2312" w:hAnsi="仿宋_GB2312" w:eastAsia="仿宋_GB2312" w:cs="仿宋_GB2312"/>
          <w:i w:val="0"/>
          <w:iCs w:val="0"/>
          <w:caps w:val="0"/>
          <w:color w:val="222222"/>
          <w:spacing w:val="8"/>
          <w:sz w:val="28"/>
          <w:szCs w:val="28"/>
          <w:shd w:val="clear" w:fill="FFFFFF"/>
        </w:rPr>
        <w:t>银 保 监 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2"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8"/>
          <w:sz w:val="28"/>
          <w:szCs w:val="28"/>
          <w:shd w:val="clear" w:fill="FFFFFF"/>
        </w:rPr>
        <w:t>2022年8月29日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YjBiYjVmMjcyMzI5ZTNkNDUwNGFmNDg0OTliMTYifQ=="/>
  </w:docVars>
  <w:rsids>
    <w:rsidRoot w:val="00000000"/>
    <w:rsid w:val="241526CB"/>
    <w:rsid w:val="4E54221F"/>
    <w:rsid w:val="770C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3310</Words>
  <Characters>3356</Characters>
  <Lines>0</Lines>
  <Paragraphs>0</Paragraphs>
  <TotalTime>14</TotalTime>
  <ScaleCrop>false</ScaleCrop>
  <LinksUpToDate>false</LinksUpToDate>
  <CharactersWithSpaces>3390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2022-08-31T01:41:00Z</dcterms:created>
  <dc:creator>bh</dc:creator>
  <cp:lastModifiedBy>bh</cp:lastModifiedBy>
  <dcterms:modified xsi:type="dcterms:W3CDTF">2022-09-01T01:20:45Z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1F351DDC76E94A3D8763CC589952975A</vt:lpwstr>
  </property>
</Properties>
</file>