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ascii="方正小标宋简体" w:eastAsia="方正小标宋简体"/>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烟台市</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十四五”农业农村现代化规划</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12"/>
          <w:sz w:val="44"/>
          <w:szCs w:val="44"/>
        </w:rPr>
      </w:pPr>
      <w:r>
        <w:rPr>
          <w:rFonts w:hint="eastAsia" w:ascii="方正小标宋简体" w:hAnsi="方正小标宋简体" w:eastAsia="方正小标宋简体" w:cs="方正小标宋简体"/>
          <w:spacing w:val="-12"/>
          <w:sz w:val="44"/>
          <w:szCs w:val="44"/>
        </w:rPr>
        <w:t>起草说明</w:t>
      </w:r>
    </w:p>
    <w:p>
      <w:pPr>
        <w:pStyle w:val="2"/>
        <w:ind w:left="0" w:leftChars="0" w:firstLine="0" w:firstLineChars="0"/>
        <w:rPr>
          <w:rFonts w:hint="eastAsia" w:ascii="方正小标宋简体" w:hAnsi="方正小标宋简体" w:eastAsia="方正小标宋简体" w:cs="方正小标宋简体"/>
          <w:spacing w:val="-12"/>
          <w:sz w:val="44"/>
          <w:szCs w:val="44"/>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一、起草背景</w:t>
      </w:r>
    </w:p>
    <w:p>
      <w:pPr>
        <w:pStyle w:val="12"/>
        <w:keepNext w:val="0"/>
        <w:keepLines w:val="0"/>
        <w:pageBreakBefore w:val="0"/>
        <w:kinsoku/>
        <w:wordWrap/>
        <w:overflowPunct/>
        <w:topLinePunct w:val="0"/>
        <w:bidi w:val="0"/>
        <w:snapToGrid w:val="0"/>
        <w:spacing w:line="560" w:lineRule="exact"/>
        <w:ind w:firstLine="640"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color w:val="auto"/>
          <w:sz w:val="32"/>
          <w:szCs w:val="32"/>
          <w:lang w:val="en-US" w:eastAsia="zh-CN"/>
        </w:rPr>
        <w:t>推进农业农村现代化是全面建设社会主义现代化国家的重大任务。党的十九届五中全会提出，坚持把解决好“三农”问题作为全党工作重中之重，全面推进乡村振兴，强化以工补农、以城带乡，推动形成工农互促、城乡互补、协调发展、共同繁荣的新型工农城乡关系，加快推进农业农村现代化。“十四五”时期是我市农业农村全面开启现代化新征程、实现高质量发展的关键五年，也是推动农业全面升级、农村全面进步、农民全面发展的重要五年。为全面贯彻落实市委市政府“1+233”工作体系安排部署，全面推进乡村振兴、加快农业农村现代化，</w:t>
      </w:r>
      <w:r>
        <w:rPr>
          <w:rFonts w:hint="eastAsia" w:ascii="仿宋_GB2312" w:hAnsi="仿宋_GB2312" w:eastAsia="仿宋_GB2312" w:cs="仿宋_GB2312"/>
          <w:spacing w:val="-11"/>
          <w:sz w:val="32"/>
          <w:szCs w:val="32"/>
        </w:rPr>
        <w:t>推进农业高质高效、乡村宜居宜业、农民富裕富足，</w:t>
      </w:r>
      <w:r>
        <w:rPr>
          <w:rFonts w:hint="eastAsia" w:ascii="仿宋_GB2312" w:hAnsi="仿宋_GB2312" w:eastAsia="仿宋_GB2312" w:cs="仿宋_GB2312"/>
          <w:spacing w:val="-11"/>
          <w:sz w:val="32"/>
          <w:szCs w:val="32"/>
          <w:lang w:val="en-US" w:eastAsia="zh-CN"/>
        </w:rPr>
        <w:t>市农业农村局精准对接上级政策，衔接《烟台市国民经济和社会发展第十四个五年规划和2035年远景目标纲要》、《烟台市乡村振兴战略规划（2018-2022年）》等重要文件编制本规划。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二、</w:t>
      </w:r>
      <w:r>
        <w:rPr>
          <w:rFonts w:hint="eastAsia" w:ascii="黑体" w:hAnsi="黑体" w:eastAsia="黑体" w:cs="黑体"/>
          <w:sz w:val="32"/>
          <w:szCs w:val="32"/>
          <w:lang w:val="en-US" w:eastAsia="zh-CN"/>
        </w:rPr>
        <w:t>起草过程</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pacing w:val="-11"/>
          <w:sz w:val="32"/>
          <w:szCs w:val="32"/>
          <w:lang w:val="en-US" w:eastAsia="zh-CN" w:bidi="ar-SA"/>
        </w:rPr>
        <w:t>在局规划编制工作领导小组领导下，通过招投标聘请了鲁东大学乡村振兴</w:t>
      </w:r>
      <w:r>
        <w:rPr>
          <w:rFonts w:hint="eastAsia" w:ascii="仿宋_GB2312" w:hAnsi="仿宋_GB2312" w:eastAsia="仿宋_GB2312" w:cs="仿宋_GB2312"/>
          <w:b w:val="0"/>
          <w:bCs w:val="0"/>
          <w:sz w:val="32"/>
          <w:szCs w:val="32"/>
          <w:lang w:val="en-US" w:eastAsia="zh-CN"/>
        </w:rPr>
        <w:t>研究院团队作为编制技术支撑机构，抽调全局精干力量组</w:t>
      </w:r>
      <w:r>
        <w:rPr>
          <w:rFonts w:hint="eastAsia" w:ascii="仿宋_GB2312" w:hAnsi="仿宋_GB2312" w:eastAsia="仿宋_GB2312" w:cs="仿宋_GB2312"/>
          <w:sz w:val="32"/>
          <w:szCs w:val="32"/>
          <w:lang w:val="en-US" w:eastAsia="zh-CN"/>
        </w:rPr>
        <w:t>成专班，制定工作方案、压茬推进。</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4月，分三个区片组织各区市农业农村系统、龙头企业、农民代表等召开专题调研会，研究讨论规划大纲、征集意见。先后赴青岛、潍坊、四川等地区开展深入调研，形成专题调研报告，明确了规划的基础框架和理论支撑；</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2021年5月至6月，先后多次召开各类座谈会、碰头会、集中办公会，对规划大纲进行多次修改，细化规划主体内容，完成《规划》（初稿）编制工作；</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2021年6月18日，通过烟台市政府网站向社会公开征求意见，对《规划》进行了修改完善；</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2021年7月27日，邀请了烟台大学、鲁东大学、中国农业大学烟台研究院、烟台农业科学研究院、烟台市农业技术推广中心的5名专家组成评审组，召开了《规划》专家论证会，通过评审;</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2021年9月30日，通过烟台市政府网站向社会公开征求意见。</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规划（草案）</w:t>
      </w:r>
      <w:r>
        <w:rPr>
          <w:rFonts w:hint="eastAsia" w:ascii="黑体" w:hAnsi="黑体" w:eastAsia="黑体" w:cs="黑体"/>
          <w:sz w:val="32"/>
          <w:szCs w:val="32"/>
        </w:rPr>
        <w:t>主要内容</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eastAsia" w:ascii="仿宋_GB2312" w:hAnsi="仿宋_GB2312" w:eastAsia="仿宋_GB2312" w:cs="仿宋_GB2312"/>
          <w:color w:val="auto"/>
          <w:spacing w:val="-11"/>
          <w:kern w:val="2"/>
          <w:sz w:val="32"/>
          <w:szCs w:val="32"/>
          <w:lang w:val="en-US" w:eastAsia="zh-CN" w:bidi="ar-SA"/>
        </w:rPr>
      </w:pPr>
      <w:r>
        <w:rPr>
          <w:rFonts w:hint="eastAsia" w:ascii="仿宋_GB2312" w:hAnsi="仿宋_GB2312" w:eastAsia="仿宋_GB2312" w:cs="仿宋_GB2312"/>
          <w:color w:val="auto"/>
          <w:spacing w:val="-11"/>
          <w:kern w:val="2"/>
          <w:sz w:val="32"/>
          <w:szCs w:val="32"/>
          <w:lang w:val="en-US" w:eastAsia="zh-CN" w:bidi="ar-SA"/>
        </w:rPr>
        <w:t>规划（草案）共9章33节，规划期至2025年，远景展望到2035年。增设4个专栏，确保各项重点任务有量化指标，有过硬措施，有项目支撑。按照与国家省规划相衔接、与高质量发展要求相衔接的原则，参考借鉴了省内外先进地市经验做法，研究提出了农业现代化、农村现代化、农民现代化和城乡融合五个方面37项主要指标。</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eastAsia" w:ascii="仿宋_GB2312" w:hAnsi="仿宋_GB2312" w:eastAsia="仿宋_GB2312" w:cs="仿宋_GB2312"/>
          <w:color w:val="auto"/>
          <w:spacing w:val="-11"/>
          <w:kern w:val="2"/>
          <w:sz w:val="32"/>
          <w:szCs w:val="32"/>
          <w:lang w:val="en-US" w:eastAsia="zh-CN" w:bidi="ar-SA"/>
        </w:rPr>
      </w:pPr>
      <w:r>
        <w:rPr>
          <w:rFonts w:hint="eastAsia" w:ascii="仿宋_GB2312" w:hAnsi="仿宋_GB2312" w:eastAsia="仿宋_GB2312" w:cs="仿宋_GB2312"/>
          <w:color w:val="auto"/>
          <w:spacing w:val="-11"/>
          <w:kern w:val="2"/>
          <w:sz w:val="32"/>
          <w:szCs w:val="32"/>
          <w:lang w:val="en-US" w:eastAsia="zh-CN" w:bidi="ar-SA"/>
        </w:rPr>
        <w:t>规划（草案）共分三大板块。第一板块为前言、总体要求和发展布局，主要阐述决胜全面建成小康社会进程中农业农村领域取得的决定性成就、新发展阶段面临的新机遇新挑战，“十四五”时期农业农村现代化的指导思想、遵循的原则和主要目标，到二〇三五年远景目标以及现代农业“137”发展格局和农村功能布局。第二板块共五章，分领域阐述“十四五”时期农业农村现代化的重点任务，明确了构建农业现代化发展格局、全域创建新时代美丽乡村、实现农民富裕富足、深入推进农村改革、加快城乡融合发展等重点领域的工作思路和具体措施。第三板块为保障体系和环境影响评价，主要阐述加强党对“三农”工作的全面领导，优先发展农业农村的保障体系。规划重点任务包括以下方面：</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eastAsia" w:ascii="仿宋_GB2312" w:hAnsi="仿宋_GB2312" w:eastAsia="仿宋_GB2312" w:cs="仿宋_GB2312"/>
          <w:color w:val="auto"/>
          <w:spacing w:val="-11"/>
          <w:kern w:val="2"/>
          <w:sz w:val="32"/>
          <w:szCs w:val="32"/>
          <w:lang w:val="en-US" w:eastAsia="zh-CN" w:bidi="ar-SA"/>
        </w:rPr>
      </w:pPr>
      <w:r>
        <w:rPr>
          <w:rFonts w:hint="eastAsia" w:ascii="楷体_GB2312" w:hAnsi="楷体_GB2312" w:eastAsia="楷体_GB2312" w:cs="楷体_GB2312"/>
          <w:sz w:val="32"/>
          <w:szCs w:val="32"/>
          <w:lang w:val="en-US" w:eastAsia="zh-CN"/>
        </w:rPr>
        <w:t>一是构建农业现代化发展新格局。</w:t>
      </w:r>
      <w:r>
        <w:rPr>
          <w:rFonts w:hint="eastAsia" w:ascii="仿宋_GB2312" w:hAnsi="仿宋_GB2312" w:eastAsia="仿宋_GB2312" w:cs="仿宋_GB2312"/>
          <w:color w:val="auto"/>
          <w:spacing w:val="-11"/>
          <w:kern w:val="2"/>
          <w:sz w:val="32"/>
          <w:szCs w:val="32"/>
          <w:lang w:val="en-US" w:eastAsia="zh-CN" w:bidi="ar-SA"/>
        </w:rPr>
        <w:t>包括稳定粮食综合生产能力；打造中国北方种业硅谷；突破发展优势特色产业；培育壮大现代农业经营体系；强化农业智慧化发展；加快农业全产业链培育发展；提升农业绿色发展质量；加强农业对外开放合作等，全面推进我市现代农业高质量发展。</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eastAsia" w:ascii="仿宋_GB2312" w:hAnsi="仿宋_GB2312" w:eastAsia="仿宋_GB2312" w:cs="仿宋_GB2312"/>
          <w:color w:val="auto"/>
          <w:spacing w:val="-11"/>
          <w:kern w:val="2"/>
          <w:sz w:val="32"/>
          <w:szCs w:val="32"/>
          <w:lang w:val="en-US" w:eastAsia="zh-CN" w:bidi="ar-SA"/>
        </w:rPr>
      </w:pPr>
      <w:r>
        <w:rPr>
          <w:rFonts w:hint="eastAsia" w:ascii="楷体_GB2312" w:hAnsi="楷体_GB2312" w:eastAsia="楷体_GB2312" w:cs="楷体_GB2312"/>
          <w:sz w:val="32"/>
          <w:szCs w:val="32"/>
          <w:lang w:val="en-US" w:eastAsia="zh-CN"/>
        </w:rPr>
        <w:t>二是全域创建新时代美丽乡村。</w:t>
      </w:r>
      <w:r>
        <w:rPr>
          <w:rFonts w:hint="eastAsia" w:ascii="仿宋_GB2312" w:hAnsi="仿宋_GB2312" w:eastAsia="仿宋_GB2312" w:cs="仿宋_GB2312"/>
          <w:color w:val="auto"/>
          <w:spacing w:val="-11"/>
          <w:kern w:val="2"/>
          <w:sz w:val="32"/>
          <w:szCs w:val="32"/>
          <w:lang w:val="en-US" w:eastAsia="zh-CN" w:bidi="ar-SA"/>
        </w:rPr>
        <w:t>包括优化乡村空间布局，实施美丽乡村示范创建行动；改善提升农村人居环境、推进新时代乡风文明建设、推进乡村治理现代化；打造数字乡村等，打造点上出彩、面上出新、带上成景、全域铺开的烟台美丽乡村新画卷。</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default" w:ascii="仿宋_GB2312" w:hAnsi="仿宋_GB2312" w:eastAsia="仿宋_GB2312" w:cs="仿宋_GB2312"/>
          <w:color w:val="auto"/>
          <w:spacing w:val="-11"/>
          <w:kern w:val="2"/>
          <w:sz w:val="32"/>
          <w:szCs w:val="32"/>
          <w:lang w:val="en-US" w:eastAsia="zh-CN" w:bidi="ar-SA"/>
        </w:rPr>
      </w:pPr>
      <w:r>
        <w:rPr>
          <w:rFonts w:hint="eastAsia" w:ascii="楷体_GB2312" w:hAnsi="楷体_GB2312" w:eastAsia="楷体_GB2312" w:cs="楷体_GB2312"/>
          <w:sz w:val="32"/>
          <w:szCs w:val="32"/>
          <w:lang w:val="en-US" w:eastAsia="zh-CN"/>
        </w:rPr>
        <w:t>三是实现农民富裕富足。</w:t>
      </w:r>
      <w:r>
        <w:rPr>
          <w:rFonts w:hint="eastAsia" w:ascii="仿宋_GB2312" w:hAnsi="仿宋_GB2312" w:eastAsia="仿宋_GB2312" w:cs="仿宋_GB2312"/>
          <w:color w:val="auto"/>
          <w:spacing w:val="-11"/>
          <w:kern w:val="2"/>
          <w:sz w:val="32"/>
          <w:szCs w:val="32"/>
          <w:lang w:val="en-US" w:eastAsia="zh-CN" w:bidi="ar-SA"/>
        </w:rPr>
        <w:t>包括建立巩固脱贫攻坚成果长效机制、健全农村低收入人口常态化帮扶机制，实现巩固拓展脱贫攻坚成果同乡村振兴有效衔接；提升农民自我发展能力，全面提升农民素质和多渠道增收能力。</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default" w:ascii="仿宋_GB2312" w:hAnsi="仿宋_GB2312" w:eastAsia="仿宋_GB2312" w:cs="仿宋_GB2312"/>
          <w:color w:val="auto"/>
          <w:spacing w:val="-11"/>
          <w:kern w:val="2"/>
          <w:sz w:val="32"/>
          <w:szCs w:val="32"/>
          <w:lang w:val="en-US" w:eastAsia="zh-CN" w:bidi="ar-SA"/>
        </w:rPr>
      </w:pPr>
      <w:r>
        <w:rPr>
          <w:rFonts w:hint="eastAsia" w:ascii="楷体_GB2312" w:hAnsi="楷体_GB2312" w:eastAsia="楷体_GB2312" w:cs="楷体_GB2312"/>
          <w:sz w:val="32"/>
          <w:szCs w:val="32"/>
          <w:lang w:val="en-US" w:eastAsia="zh-CN"/>
        </w:rPr>
        <w:t>四是深入推进农村改革。</w:t>
      </w:r>
      <w:r>
        <w:rPr>
          <w:rFonts w:hint="eastAsia" w:ascii="仿宋_GB2312" w:hAnsi="仿宋_GB2312" w:eastAsia="仿宋_GB2312" w:cs="仿宋_GB2312"/>
          <w:color w:val="auto"/>
          <w:spacing w:val="-11"/>
          <w:kern w:val="2"/>
          <w:sz w:val="32"/>
          <w:szCs w:val="32"/>
          <w:lang w:val="en-US" w:eastAsia="zh-CN" w:bidi="ar-SA"/>
        </w:rPr>
        <w:t>包括巩固完善农村基本经营制度；有序推进农村土地制度改革；扎实做好农村集体产权制度改革、争取农村集成改革试点等，充分释放改革红利，激发农村内生动力。</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default" w:ascii="仿宋_GB2312" w:hAnsi="仿宋_GB2312" w:eastAsia="仿宋_GB2312" w:cs="仿宋_GB2312"/>
          <w:color w:val="auto"/>
          <w:spacing w:val="-11"/>
          <w:kern w:val="2"/>
          <w:sz w:val="32"/>
          <w:szCs w:val="32"/>
          <w:lang w:val="en-US" w:eastAsia="zh-CN" w:bidi="ar-SA"/>
        </w:rPr>
      </w:pPr>
      <w:r>
        <w:rPr>
          <w:rFonts w:hint="eastAsia" w:ascii="楷体_GB2312" w:hAnsi="楷体_GB2312" w:eastAsia="楷体_GB2312" w:cs="楷体_GB2312"/>
          <w:sz w:val="32"/>
          <w:szCs w:val="32"/>
          <w:lang w:val="en-US" w:eastAsia="zh-CN"/>
        </w:rPr>
        <w:t>五是加快推进城乡融合发展。</w:t>
      </w:r>
      <w:r>
        <w:rPr>
          <w:rFonts w:hint="eastAsia" w:ascii="仿宋_GB2312" w:hAnsi="仿宋_GB2312" w:eastAsia="仿宋_GB2312" w:cs="仿宋_GB2312"/>
          <w:color w:val="auto"/>
          <w:spacing w:val="-11"/>
          <w:kern w:val="2"/>
          <w:sz w:val="32"/>
          <w:szCs w:val="32"/>
          <w:lang w:val="en-US" w:eastAsia="zh-CN" w:bidi="ar-SA"/>
        </w:rPr>
        <w:t>包括推动以县域为载体的城镇化建设；推动城乡基础设施互联互通；推动城乡基本公共服务均等化；大力提振农村消费等，畅通城乡双向循环，全面提升城乡融合发展水平。</w:t>
      </w:r>
    </w:p>
    <w:p>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pacing w:val="-11"/>
          <w:kern w:val="2"/>
          <w:sz w:val="32"/>
          <w:szCs w:val="32"/>
          <w:lang w:val="en-US" w:eastAsia="zh-CN" w:bidi="ar-SA"/>
        </w:rPr>
      </w:pPr>
    </w:p>
    <w:p>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pacing w:val="-11"/>
          <w:kern w:val="2"/>
          <w:sz w:val="32"/>
          <w:szCs w:val="32"/>
          <w:lang w:val="en-US" w:eastAsia="zh-CN" w:bidi="ar-SA"/>
        </w:rPr>
      </w:pP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eastAsia" w:ascii="仿宋_GB2312" w:hAnsi="仿宋_GB2312" w:eastAsia="仿宋_GB2312" w:cs="仿宋_GB2312"/>
          <w:color w:val="auto"/>
          <w:spacing w:val="-11"/>
          <w:kern w:val="2"/>
          <w:sz w:val="32"/>
          <w:szCs w:val="32"/>
          <w:lang w:val="en-US" w:eastAsia="zh-CN" w:bidi="ar-SA"/>
        </w:rPr>
      </w:pPr>
    </w:p>
    <w:p>
      <w:pPr>
        <w:pStyle w:val="2"/>
        <w:keepNext w:val="0"/>
        <w:keepLines w:val="0"/>
        <w:pageBreakBefore w:val="0"/>
        <w:kinsoku/>
        <w:wordWrap/>
        <w:overflowPunct/>
        <w:topLinePunct w:val="0"/>
        <w:autoSpaceDE/>
        <w:autoSpaceDN/>
        <w:bidi w:val="0"/>
        <w:adjustRightInd/>
        <w:snapToGrid/>
        <w:spacing w:line="560" w:lineRule="exact"/>
        <w:ind w:left="0" w:leftChars="0" w:firstLine="720"/>
        <w:jc w:val="center"/>
        <w:textAlignment w:val="auto"/>
        <w:rPr>
          <w:rFonts w:hint="eastAsia" w:ascii="仿宋_GB2312" w:hAnsi="仿宋_GB2312" w:eastAsia="仿宋_GB2312" w:cs="仿宋_GB2312"/>
          <w:color w:val="auto"/>
          <w:spacing w:val="-11"/>
          <w:kern w:val="2"/>
          <w:sz w:val="32"/>
          <w:szCs w:val="32"/>
          <w:lang w:val="en-US" w:eastAsia="zh-CN" w:bidi="ar-SA"/>
        </w:rPr>
      </w:pPr>
      <w:r>
        <w:rPr>
          <w:rFonts w:hint="eastAsia" w:ascii="仿宋_GB2312" w:hAnsi="仿宋_GB2312" w:eastAsia="仿宋_GB2312" w:cs="仿宋_GB2312"/>
          <w:color w:val="auto"/>
          <w:spacing w:val="-11"/>
          <w:kern w:val="2"/>
          <w:sz w:val="32"/>
          <w:szCs w:val="32"/>
          <w:lang w:val="en-US" w:eastAsia="zh-CN" w:bidi="ar-SA"/>
        </w:rPr>
        <w:t>　　　　　　　　　　　　　烟台市农业农村局</w:t>
      </w:r>
    </w:p>
    <w:p>
      <w:pPr>
        <w:pStyle w:val="2"/>
        <w:keepNext w:val="0"/>
        <w:keepLines w:val="0"/>
        <w:pageBreakBefore w:val="0"/>
        <w:kinsoku/>
        <w:wordWrap/>
        <w:overflowPunct/>
        <w:topLinePunct w:val="0"/>
        <w:autoSpaceDE/>
        <w:autoSpaceDN/>
        <w:bidi w:val="0"/>
        <w:adjustRightInd/>
        <w:snapToGrid/>
        <w:spacing w:line="560" w:lineRule="exact"/>
        <w:ind w:left="0" w:leftChars="0" w:firstLine="720"/>
        <w:jc w:val="center"/>
        <w:textAlignment w:val="auto"/>
        <w:rPr>
          <w:rFonts w:hint="eastAsia" w:ascii="仿宋_GB2312" w:hAnsi="仿宋_GB2312" w:eastAsia="仿宋_GB2312" w:cs="仿宋_GB2312"/>
          <w:color w:val="auto"/>
          <w:spacing w:val="-11"/>
          <w:kern w:val="2"/>
          <w:sz w:val="32"/>
          <w:szCs w:val="32"/>
          <w:lang w:val="en-US" w:eastAsia="zh-CN" w:bidi="ar-SA"/>
        </w:rPr>
      </w:pPr>
      <w:r>
        <w:rPr>
          <w:rFonts w:hint="eastAsia" w:ascii="仿宋_GB2312" w:hAnsi="仿宋_GB2312" w:eastAsia="仿宋_GB2312" w:cs="仿宋_GB2312"/>
          <w:color w:val="auto"/>
          <w:spacing w:val="-11"/>
          <w:kern w:val="2"/>
          <w:sz w:val="32"/>
          <w:szCs w:val="32"/>
          <w:lang w:val="en-US" w:eastAsia="zh-CN" w:bidi="ar-SA"/>
        </w:rPr>
        <w:t>　　</w:t>
      </w:r>
      <w:r>
        <w:rPr>
          <w:rFonts w:hint="eastAsia" w:ascii="仿宋_GB2312" w:hAnsi="仿宋_GB2312" w:eastAsia="仿宋_GB2312" w:cs="仿宋_GB2312"/>
          <w:bCs/>
          <w:color w:val="000000"/>
          <w:spacing w:val="-6"/>
          <w:kern w:val="0"/>
          <w:sz w:val="32"/>
          <w:szCs w:val="32"/>
          <w:lang w:val="en-US" w:eastAsia="zh-CN"/>
        </w:rPr>
        <w:t>　　　　　　　　　　　2021年9月30</w:t>
      </w:r>
      <w:bookmarkStart w:id="0" w:name="_GoBack"/>
      <w:bookmarkEnd w:id="0"/>
      <w:r>
        <w:rPr>
          <w:rFonts w:hint="eastAsia" w:ascii="仿宋_GB2312" w:hAnsi="仿宋_GB2312" w:eastAsia="仿宋_GB2312" w:cs="仿宋_GB2312"/>
          <w:bCs/>
          <w:color w:val="000000"/>
          <w:spacing w:val="-6"/>
          <w:kern w:val="0"/>
          <w:sz w:val="32"/>
          <w:szCs w:val="32"/>
          <w:lang w:val="en-US" w:eastAsia="zh-CN"/>
        </w:rPr>
        <w:t>日　　</w:t>
      </w:r>
    </w:p>
    <w:p>
      <w:pPr>
        <w:pStyle w:val="2"/>
        <w:keepNext w:val="0"/>
        <w:keepLines w:val="0"/>
        <w:pageBreakBefore w:val="0"/>
        <w:kinsoku/>
        <w:wordWrap/>
        <w:overflowPunct/>
        <w:topLinePunct w:val="0"/>
        <w:autoSpaceDE/>
        <w:autoSpaceDN/>
        <w:bidi w:val="0"/>
        <w:adjustRightInd/>
        <w:snapToGrid/>
        <w:spacing w:line="560" w:lineRule="exact"/>
        <w:ind w:left="0" w:leftChars="0" w:firstLine="720"/>
        <w:textAlignment w:val="auto"/>
        <w:rPr>
          <w:rFonts w:hint="eastAsia" w:ascii="仿宋_GB2312" w:hAnsi="仿宋_GB2312" w:eastAsia="仿宋_GB2312" w:cs="仿宋_GB2312"/>
          <w:color w:val="auto"/>
          <w:spacing w:val="-11"/>
          <w:kern w:val="2"/>
          <w:sz w:val="32"/>
          <w:szCs w:val="32"/>
          <w:lang w:val="en-US" w:eastAsia="zh-CN" w:bidi="ar-SA"/>
        </w:rPr>
      </w:pPr>
      <w:r>
        <w:rPr>
          <w:rFonts w:hint="eastAsia" w:ascii="仿宋_GB2312" w:hAnsi="仿宋_GB2312" w:eastAsia="仿宋_GB2312" w:cs="仿宋_GB2312"/>
          <w:color w:val="auto"/>
          <w:spacing w:val="-11"/>
          <w:kern w:val="2"/>
          <w:sz w:val="32"/>
          <w:szCs w:val="32"/>
          <w:lang w:val="en-US" w:eastAsia="zh-CN" w:bidi="ar-SA"/>
        </w:rPr>
        <w:t>　</w:t>
      </w:r>
    </w:p>
    <w:sectPr>
      <w:footerReference r:id="rId3" w:type="default"/>
      <w:pgSz w:w="11906" w:h="16838"/>
      <w:pgMar w:top="2154" w:right="1531"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2255C6"/>
    <w:rsid w:val="00040EE5"/>
    <w:rsid w:val="000C0592"/>
    <w:rsid w:val="0012051A"/>
    <w:rsid w:val="001237AA"/>
    <w:rsid w:val="00197BD9"/>
    <w:rsid w:val="001E506A"/>
    <w:rsid w:val="0028102A"/>
    <w:rsid w:val="002844AB"/>
    <w:rsid w:val="002E758E"/>
    <w:rsid w:val="003665A7"/>
    <w:rsid w:val="00380534"/>
    <w:rsid w:val="004240A5"/>
    <w:rsid w:val="00424472"/>
    <w:rsid w:val="004F274C"/>
    <w:rsid w:val="005258B8"/>
    <w:rsid w:val="00526D6D"/>
    <w:rsid w:val="005C667A"/>
    <w:rsid w:val="00626B30"/>
    <w:rsid w:val="00627954"/>
    <w:rsid w:val="00692A0E"/>
    <w:rsid w:val="006E10C8"/>
    <w:rsid w:val="00723B6E"/>
    <w:rsid w:val="00752FD6"/>
    <w:rsid w:val="00770207"/>
    <w:rsid w:val="007C38B3"/>
    <w:rsid w:val="008A7336"/>
    <w:rsid w:val="00911799"/>
    <w:rsid w:val="00936CA6"/>
    <w:rsid w:val="009869BE"/>
    <w:rsid w:val="00997FCB"/>
    <w:rsid w:val="00A57F1C"/>
    <w:rsid w:val="00A8374E"/>
    <w:rsid w:val="00B55388"/>
    <w:rsid w:val="00BA02F7"/>
    <w:rsid w:val="00BB2381"/>
    <w:rsid w:val="00C7006B"/>
    <w:rsid w:val="00C76032"/>
    <w:rsid w:val="00C97820"/>
    <w:rsid w:val="00CB362C"/>
    <w:rsid w:val="00CB4E5D"/>
    <w:rsid w:val="00E0575C"/>
    <w:rsid w:val="00F53A80"/>
    <w:rsid w:val="00F715EA"/>
    <w:rsid w:val="01E62FE6"/>
    <w:rsid w:val="0A2A766B"/>
    <w:rsid w:val="0AB338E8"/>
    <w:rsid w:val="0BE633AF"/>
    <w:rsid w:val="0E1A0A78"/>
    <w:rsid w:val="115A47F8"/>
    <w:rsid w:val="132C7976"/>
    <w:rsid w:val="1A296F92"/>
    <w:rsid w:val="1B2059AA"/>
    <w:rsid w:val="1E545037"/>
    <w:rsid w:val="1FBFF4F8"/>
    <w:rsid w:val="1FF7F1AA"/>
    <w:rsid w:val="247D3083"/>
    <w:rsid w:val="261B4B6F"/>
    <w:rsid w:val="271E60C8"/>
    <w:rsid w:val="287D00E2"/>
    <w:rsid w:val="2C780760"/>
    <w:rsid w:val="2DCE17FC"/>
    <w:rsid w:val="31695DB5"/>
    <w:rsid w:val="373C46BE"/>
    <w:rsid w:val="3C9B4616"/>
    <w:rsid w:val="3DFDAF1F"/>
    <w:rsid w:val="44CD63EF"/>
    <w:rsid w:val="49541810"/>
    <w:rsid w:val="4FF9EC8F"/>
    <w:rsid w:val="572255C6"/>
    <w:rsid w:val="593D881E"/>
    <w:rsid w:val="59971E21"/>
    <w:rsid w:val="5B634B77"/>
    <w:rsid w:val="5CAD679C"/>
    <w:rsid w:val="5FFE523A"/>
    <w:rsid w:val="63022035"/>
    <w:rsid w:val="66774B4A"/>
    <w:rsid w:val="6D5B2B8E"/>
    <w:rsid w:val="6E3A5151"/>
    <w:rsid w:val="6EBC56C9"/>
    <w:rsid w:val="725B4C90"/>
    <w:rsid w:val="7FFCD97C"/>
    <w:rsid w:val="A47C77CE"/>
    <w:rsid w:val="B7DFE0C7"/>
    <w:rsid w:val="F78C02B3"/>
    <w:rsid w:val="FC7FEF65"/>
    <w:rsid w:val="FE7F496D"/>
    <w:rsid w:val="FF6FA8F9"/>
    <w:rsid w:val="FFBFC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ind w:left="420" w:leftChars="200"/>
    </w:pPr>
  </w:style>
  <w:style w:type="paragraph" w:styleId="5">
    <w:name w:val="Body Text"/>
    <w:basedOn w:val="1"/>
    <w:qFormat/>
    <w:uiPriority w:val="0"/>
    <w:pPr>
      <w:spacing w:after="120"/>
    </w:pPr>
  </w:style>
  <w:style w:type="paragraph" w:styleId="6">
    <w:name w:val="Balloon Text"/>
    <w:basedOn w:val="1"/>
    <w:link w:val="1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11">
    <w:name w:val="批注框文本 Char"/>
    <w:basedOn w:val="10"/>
    <w:link w:val="6"/>
    <w:qFormat/>
    <w:uiPriority w:val="0"/>
    <w:rPr>
      <w:kern w:val="2"/>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822</Words>
  <Characters>4692</Characters>
  <Lines>39</Lines>
  <Paragraphs>11</Paragraphs>
  <TotalTime>0</TotalTime>
  <ScaleCrop>false</ScaleCrop>
  <LinksUpToDate>false</LinksUpToDate>
  <CharactersWithSpaces>5503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2020-12-21T15:12:00Z</dcterms:created>
  <dc:creator>花雨满天</dc:creator>
  <cp:lastModifiedBy>Administrator</cp:lastModifiedBy>
  <cp:lastPrinted>2020-12-25T12:29:00Z</cp:lastPrinted>
  <dcterms:modified xsi:type="dcterms:W3CDTF">2021-12-06T03:02:51Z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A2E69D1DE2D6479AB28D434F940D27ED</vt:lpwstr>
  </property>
</Properties>
</file>