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0" w:beforeAutospacing="0" w:after="0" w:afterAutospacing="0" w:line="560" w:lineRule="exact"/>
        <w:jc w:val="center"/>
        <w:rPr>
          <w:rFonts w:ascii="方正小标宋简体" w:eastAsia="方正小标宋简体"/>
          <w:bCs/>
          <w:color w:val="auto"/>
          <w:sz w:val="44"/>
          <w:szCs w:val="44"/>
        </w:rPr>
      </w:pPr>
      <w:r>
        <w:rPr>
          <w:rFonts w:hint="eastAsia" w:ascii="方正小标宋简体" w:eastAsia="方正小标宋简体"/>
          <w:bCs/>
          <w:sz w:val="44"/>
          <w:szCs w:val="44"/>
        </w:rPr>
        <w:t>山东省招远第一中学202</w:t>
      </w:r>
      <w:r>
        <w:rPr>
          <w:rFonts w:ascii="方正小标宋简体" w:eastAsia="方正小标宋简体"/>
          <w:bCs/>
          <w:sz w:val="44"/>
          <w:szCs w:val="44"/>
        </w:rPr>
        <w:t>3</w:t>
      </w:r>
      <w:r>
        <w:rPr>
          <w:rFonts w:hint="eastAsia" w:ascii="方正小标宋简体" w:eastAsia="方正小标宋简体"/>
          <w:bCs/>
          <w:sz w:val="44"/>
          <w:szCs w:val="44"/>
        </w:rPr>
        <w:t>-202</w:t>
      </w:r>
      <w:r>
        <w:rPr>
          <w:rFonts w:ascii="方正小标宋简体" w:eastAsia="方正小标宋简体"/>
          <w:bCs/>
          <w:sz w:val="44"/>
          <w:szCs w:val="44"/>
        </w:rPr>
        <w:t>4</w:t>
      </w:r>
      <w:r>
        <w:rPr>
          <w:rFonts w:hint="eastAsia" w:ascii="方正小标宋简体" w:eastAsia="方正小标宋简体"/>
          <w:bCs/>
          <w:sz w:val="44"/>
          <w:szCs w:val="44"/>
        </w:rPr>
        <w:t>学年度</w:t>
      </w:r>
      <w:r>
        <w:rPr>
          <w:rFonts w:hint="eastAsia" w:ascii="方正小标宋简体" w:eastAsia="方正小标宋简体"/>
          <w:bCs/>
          <w:color w:val="auto"/>
          <w:sz w:val="44"/>
          <w:szCs w:val="44"/>
          <w:highlight w:val="none"/>
        </w:rPr>
        <w:t>高</w:t>
      </w:r>
      <w:r>
        <w:rPr>
          <w:rFonts w:hint="eastAsia" w:ascii="方正小标宋简体" w:eastAsia="方正小标宋简体"/>
          <w:bCs/>
          <w:color w:val="auto"/>
          <w:sz w:val="44"/>
          <w:szCs w:val="44"/>
          <w:highlight w:val="none"/>
          <w:lang w:eastAsia="zh-CN"/>
        </w:rPr>
        <w:t>二</w:t>
      </w:r>
      <w:r>
        <w:rPr>
          <w:rFonts w:hint="eastAsia" w:ascii="方正小标宋简体" w:eastAsia="方正小标宋简体"/>
          <w:bCs/>
          <w:color w:val="auto"/>
          <w:sz w:val="44"/>
          <w:szCs w:val="44"/>
          <w:highlight w:val="none"/>
        </w:rPr>
        <w:t>数学</w:t>
      </w:r>
      <w:r>
        <w:rPr>
          <w:rFonts w:hint="eastAsia" w:ascii="方正小标宋简体" w:eastAsia="方正小标宋简体"/>
          <w:bCs/>
          <w:color w:val="auto"/>
          <w:sz w:val="44"/>
          <w:szCs w:val="44"/>
        </w:rPr>
        <w:t>教学研究工作方案</w:t>
      </w:r>
    </w:p>
    <w:p>
      <w:pPr>
        <w:pStyle w:val="4"/>
        <w:snapToGrid w:val="0"/>
        <w:spacing w:before="0" w:beforeAutospacing="0" w:after="0" w:afterAutospacing="0" w:line="560" w:lineRule="exact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一、学情分析</w:t>
      </w:r>
    </w:p>
    <w:p>
      <w:pPr>
        <w:pStyle w:val="4"/>
        <w:snapToGrid w:val="0"/>
        <w:spacing w:before="0" w:beforeAutospacing="0" w:after="0" w:afterAutospacing="0" w:line="560" w:lineRule="exact"/>
        <w:ind w:firstLine="640" w:firstLineChars="200"/>
        <w:rPr>
          <w:rFonts w:hint="eastAsia" w:ascii="仿宋_GB2312" w:eastAsia="仿宋_GB2312"/>
          <w:bCs/>
          <w:sz w:val="32"/>
          <w:szCs w:val="32"/>
          <w:lang w:eastAsia="zh-CN"/>
        </w:rPr>
      </w:pPr>
      <w:r>
        <w:rPr>
          <w:rFonts w:hint="eastAsia" w:ascii="仿宋_GB2312" w:eastAsia="仿宋_GB2312"/>
          <w:bCs/>
          <w:sz w:val="32"/>
          <w:szCs w:val="32"/>
        </w:rPr>
        <w:t>数学教材是由人民教育出版社、课程教材研究所、中学数学课程教材研究开发中心编著的</w:t>
      </w:r>
      <w:r>
        <w:rPr>
          <w:rFonts w:hint="eastAsia" w:ascii="仿宋_GB2312" w:eastAsia="仿宋_GB2312"/>
          <w:bCs/>
          <w:sz w:val="32"/>
          <w:szCs w:val="32"/>
          <w:lang w:val="en-US" w:eastAsia="zh-CN"/>
        </w:rPr>
        <w:t>2019人教</w:t>
      </w:r>
      <w:r>
        <w:rPr>
          <w:rFonts w:hint="eastAsia" w:ascii="仿宋_GB2312" w:eastAsia="仿宋_GB2312"/>
          <w:bCs/>
          <w:sz w:val="32"/>
          <w:szCs w:val="32"/>
        </w:rPr>
        <w:t>A版教材</w:t>
      </w:r>
      <w:r>
        <w:rPr>
          <w:rFonts w:hint="eastAsia" w:ascii="仿宋_GB2312" w:eastAsia="仿宋_GB2312"/>
          <w:bCs/>
          <w:sz w:val="32"/>
          <w:szCs w:val="32"/>
          <w:lang w:eastAsia="zh-CN"/>
        </w:rPr>
        <w:t>。</w:t>
      </w:r>
    </w:p>
    <w:p>
      <w:pPr>
        <w:pStyle w:val="4"/>
        <w:snapToGrid w:val="0"/>
        <w:spacing w:before="0" w:beforeAutospacing="0" w:after="0" w:afterAutospacing="0" w:line="560" w:lineRule="exact"/>
        <w:ind w:firstLine="640" w:firstLineChars="200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根据数学的学科特点，加强学习目的性的教育，提高学生学习数学的自觉心和兴趣，培养学生良好的学习习惯，实事求是的科学态度，顽强的学习毅力和独立思考、探索创新的'精神</w:t>
      </w:r>
      <w:r>
        <w:rPr>
          <w:rFonts w:hint="eastAsia" w:ascii="仿宋_GB2312" w:eastAsia="仿宋_GB2312"/>
          <w:bCs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bCs/>
          <w:sz w:val="32"/>
          <w:szCs w:val="32"/>
        </w:rPr>
        <w:t>使学生具有一定的数学视野，逐步认识数学的科学价值、应用价值和文化价值，形成批判性的思维习惯，崇尚数学的理性精神，体会数学的美学意义，理解数学中普遍存在着的运动、变化、相互联系和相互转化的情形，从而进一步树立辩证唯物主义和历史唯物主义世界观。</w:t>
      </w:r>
    </w:p>
    <w:p>
      <w:pPr>
        <w:pStyle w:val="4"/>
        <w:snapToGrid w:val="0"/>
        <w:spacing w:before="0" w:beforeAutospacing="0" w:after="0" w:afterAutospacing="0" w:line="560" w:lineRule="exact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二、教材分析</w:t>
      </w:r>
    </w:p>
    <w:p>
      <w:pPr>
        <w:pStyle w:val="4"/>
        <w:snapToGrid w:val="0"/>
        <w:spacing w:before="0" w:beforeAutospacing="0" w:after="0" w:afterAutospacing="0" w:line="560" w:lineRule="exact"/>
        <w:ind w:firstLine="640" w:firstLineChars="200"/>
        <w:rPr>
          <w:rFonts w:hint="eastAsia" w:ascii="仿宋_GB2312" w:eastAsia="仿宋_GB2312"/>
          <w:bCs/>
          <w:sz w:val="32"/>
          <w:szCs w:val="32"/>
          <w:lang w:eastAsia="zh-CN"/>
        </w:rPr>
      </w:pPr>
      <w:r>
        <w:rPr>
          <w:rFonts w:hint="eastAsia" w:ascii="仿宋_GB2312" w:eastAsia="仿宋_GB2312"/>
          <w:bCs/>
          <w:sz w:val="32"/>
          <w:szCs w:val="32"/>
        </w:rPr>
        <w:t>新教材更加注重强调数学知识的实际背景和应用，使教材具有很强的亲和力，即以生动活泼的呈现方式，激发学生的兴趣和美感，使学生产生对数学的亲切感，引发学生看个究竟的冲动，使学生兴趣盎然地投入学习。</w:t>
      </w:r>
      <w:r>
        <w:rPr>
          <w:rFonts w:hint="eastAsia" w:ascii="仿宋_GB2312" w:eastAsia="仿宋_GB2312"/>
          <w:bCs/>
          <w:sz w:val="32"/>
          <w:szCs w:val="32"/>
          <w:lang w:eastAsia="zh-CN"/>
        </w:rPr>
        <w:t>第一章空间向量与立体几何是上学期知识的延续，用向量的方法解决几何问题，体会向量的工具性以及数学中解决问题的多样性，第二章第三章是解析几何，用代数方法解决几何问题，培养学生数形结合，逻辑推理，数学运算等能力。</w:t>
      </w:r>
    </w:p>
    <w:p>
      <w:pPr>
        <w:pStyle w:val="4"/>
        <w:snapToGrid w:val="0"/>
        <w:spacing w:before="0" w:beforeAutospacing="0" w:after="0" w:afterAutospacing="0" w:line="560" w:lineRule="exact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三、本学期目标</w:t>
      </w:r>
    </w:p>
    <w:p>
      <w:pPr>
        <w:pStyle w:val="4"/>
        <w:snapToGrid w:val="0"/>
        <w:spacing w:before="0" w:beforeAutospacing="0" w:after="0" w:afterAutospacing="0" w:line="560" w:lineRule="exact"/>
        <w:ind w:firstLine="640" w:firstLineChars="200"/>
        <w:rPr>
          <w:rFonts w:hint="eastAsia" w:ascii="仿宋_GB2312" w:eastAsia="仿宋_GB2312" w:cs="Times New Roman"/>
          <w:bCs/>
          <w:color w:val="auto"/>
          <w:sz w:val="32"/>
          <w:szCs w:val="32"/>
        </w:rPr>
      </w:pPr>
      <w:r>
        <w:rPr>
          <w:rFonts w:hint="eastAsia" w:ascii="仿宋_GB2312" w:eastAsia="仿宋_GB2312" w:cs="Times New Roman"/>
          <w:bCs/>
          <w:color w:val="auto"/>
          <w:sz w:val="32"/>
          <w:szCs w:val="32"/>
        </w:rPr>
        <w:t>本学期本着从学生的实际出发，认真落实新课程的标准，</w:t>
      </w:r>
    </w:p>
    <w:p>
      <w:pPr>
        <w:pStyle w:val="4"/>
        <w:snapToGrid w:val="0"/>
        <w:spacing w:before="0" w:beforeAutospacing="0" w:after="0" w:afterAutospacing="0" w:line="560" w:lineRule="exact"/>
        <w:ind w:firstLine="640" w:firstLineChars="200"/>
        <w:rPr>
          <w:rFonts w:hint="eastAsia" w:ascii="仿宋_GB2312" w:eastAsia="仿宋_GB2312" w:cs="Times New Roman"/>
          <w:bCs/>
          <w:color w:val="auto"/>
          <w:sz w:val="32"/>
          <w:szCs w:val="32"/>
        </w:rPr>
      </w:pPr>
    </w:p>
    <w:p>
      <w:pPr>
        <w:pStyle w:val="4"/>
        <w:snapToGrid w:val="0"/>
        <w:spacing w:before="0" w:beforeAutospacing="0" w:after="0" w:afterAutospacing="0" w:line="560" w:lineRule="exact"/>
        <w:rPr>
          <w:rFonts w:hint="eastAsia" w:ascii="黑体" w:hAnsi="黑体" w:eastAsia="黑体"/>
          <w:bCs/>
          <w:sz w:val="32"/>
          <w:szCs w:val="32"/>
        </w:rPr>
      </w:pPr>
      <w:bookmarkStart w:id="0" w:name="_GoBack"/>
      <w:bookmarkEnd w:id="0"/>
      <w:r>
        <w:rPr>
          <w:rFonts w:hint="eastAsia" w:ascii="仿宋_GB2312" w:eastAsia="仿宋_GB2312" w:cs="Times New Roman"/>
          <w:bCs/>
          <w:color w:val="auto"/>
          <w:sz w:val="32"/>
          <w:szCs w:val="32"/>
        </w:rPr>
        <w:t>认真体会新教材的要求，重视培养学生的数学思维和应用能力和对学科的兴趣，改善学生的学习习惯,全面落实基础,使学生的能力有较大的提高</w:t>
      </w:r>
      <w:r>
        <w:rPr>
          <w:rFonts w:hint="eastAsia" w:ascii="仿宋_GB2312" w:eastAsia="仿宋_GB2312" w:cs="Times New Roman"/>
          <w:bCs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eastAsia="仿宋_GB2312" w:cs="Times New Roman"/>
          <w:bCs/>
          <w:color w:val="auto"/>
          <w:sz w:val="32"/>
          <w:szCs w:val="32"/>
        </w:rPr>
        <w:t>协调好讲、练、评、辅之间的关系，追求数学复习的最佳效果，注重实效，努力提高复习教学的效率和效益；精心设计教学，做到精讲精练，不加重学生的负担，避免“题海战” ，精心准备，讲评到为，做到讲评试卷或例题时：讲清考察了那些知识点，怎样审题，怎样打开解题思路，用到了那些方法技巧，关键步骤在那里，哪些是典型错误，是知识和是逻辑，是方法、是心理上、策略上的错误，针对学生的错误调整复习策略，使复习更加有重点、针对性，加快教学节奏，提高教学效率。</w:t>
      </w:r>
    </w:p>
    <w:p>
      <w:pPr>
        <w:pStyle w:val="4"/>
        <w:snapToGrid w:val="0"/>
        <w:spacing w:before="0" w:beforeAutospacing="0" w:after="0" w:afterAutospacing="0" w:line="560" w:lineRule="exact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四、教法分析</w:t>
      </w:r>
    </w:p>
    <w:p>
      <w:pPr>
        <w:pStyle w:val="4"/>
        <w:snapToGrid w:val="0"/>
        <w:spacing w:before="0" w:beforeAutospacing="0" w:after="0" w:afterAutospacing="0" w:line="560" w:lineRule="exact"/>
        <w:ind w:firstLine="640" w:firstLineChars="200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仿宋_GB2312" w:eastAsia="仿宋_GB2312" w:cs="Times New Roman"/>
          <w:bCs/>
          <w:color w:val="auto"/>
          <w:sz w:val="32"/>
          <w:szCs w:val="32"/>
        </w:rPr>
        <w:t>通过“观察”，“思考”，“探究”等栏目，引发学生的思考和探索活动，切实改进学生的学习方式。</w:t>
      </w:r>
    </w:p>
    <w:p>
      <w:pPr>
        <w:pStyle w:val="4"/>
        <w:snapToGrid w:val="0"/>
        <w:spacing w:before="0" w:beforeAutospacing="0" w:after="0" w:afterAutospacing="0" w:line="560" w:lineRule="exact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五、教学措施</w:t>
      </w:r>
    </w:p>
    <w:p>
      <w:pPr>
        <w:pStyle w:val="4"/>
        <w:snapToGrid w:val="0"/>
        <w:spacing w:before="0" w:beforeAutospacing="0" w:after="0" w:afterAutospacing="0" w:line="560" w:lineRule="exact"/>
        <w:ind w:firstLine="640" w:firstLineChars="200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仿宋_GB2312" w:eastAsia="仿宋_GB2312" w:cs="Times New Roman"/>
          <w:bCs/>
          <w:color w:val="auto"/>
          <w:sz w:val="32"/>
          <w:szCs w:val="32"/>
        </w:rPr>
        <w:t>认真落实，搞好集体备课。每周至少进行一次集体备课。各组老师根据自己承担的任务，提前一周进行单元式的备课，并出好本周的单页练习。</w:t>
      </w:r>
    </w:p>
    <w:p>
      <w:pPr>
        <w:pStyle w:val="4"/>
        <w:snapToGrid w:val="0"/>
        <w:spacing w:before="0" w:beforeAutospacing="0" w:after="0" w:afterAutospacing="0" w:line="560" w:lineRule="exact"/>
        <w:rPr>
          <w:rFonts w:hint="eastAsia" w:ascii="楷体_GB2312" w:hAnsi="黑体" w:eastAsia="楷体_GB2312"/>
          <w:bCs/>
          <w:sz w:val="32"/>
          <w:szCs w:val="32"/>
          <w:lang w:eastAsia="zh-CN"/>
        </w:rPr>
      </w:pPr>
      <w:r>
        <w:rPr>
          <w:rFonts w:hint="eastAsia" w:ascii="黑体" w:hAnsi="黑体" w:eastAsia="黑体"/>
          <w:bCs/>
          <w:sz w:val="32"/>
          <w:szCs w:val="32"/>
        </w:rPr>
        <w:t>六、教学进度安排（包括一整个学年的计划）</w:t>
      </w:r>
    </w:p>
    <w:p>
      <w:pPr>
        <w:pStyle w:val="4"/>
        <w:snapToGrid w:val="0"/>
        <w:spacing w:before="0" w:beforeAutospacing="0" w:after="0" w:afterAutospacing="0" w:line="560" w:lineRule="exact"/>
        <w:rPr>
          <w:rFonts w:hint="eastAsia" w:ascii="楷体_GB2312" w:hAnsi="黑体" w:eastAsia="楷体_GB2312"/>
          <w:bCs/>
          <w:sz w:val="32"/>
          <w:szCs w:val="32"/>
        </w:rPr>
      </w:pPr>
      <w:r>
        <w:rPr>
          <w:rFonts w:hint="eastAsia" w:ascii="楷体_GB2312" w:hAnsi="黑体" w:eastAsia="楷体_GB2312"/>
          <w:bCs/>
          <w:sz w:val="32"/>
          <w:szCs w:val="32"/>
        </w:rPr>
        <w:t>（一）第一学期</w:t>
      </w:r>
    </w:p>
    <w:tbl>
      <w:tblPr>
        <w:tblStyle w:val="5"/>
        <w:tblW w:w="8738" w:type="dxa"/>
        <w:tblCellSpacing w:w="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68"/>
        <w:gridCol w:w="3414"/>
        <w:gridCol w:w="2554"/>
        <w:gridCol w:w="210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  <w:tblCellSpacing w:w="0" w:type="dxa"/>
        </w:trPr>
        <w:tc>
          <w:tcPr>
            <w:tcW w:w="6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周次</w:t>
            </w:r>
          </w:p>
        </w:tc>
        <w:tc>
          <w:tcPr>
            <w:tcW w:w="34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时间</w:t>
            </w:r>
          </w:p>
        </w:tc>
        <w:tc>
          <w:tcPr>
            <w:tcW w:w="25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教学内容</w:t>
            </w:r>
          </w:p>
        </w:tc>
        <w:tc>
          <w:tcPr>
            <w:tcW w:w="21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教时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  <w:tblCellSpacing w:w="0" w:type="dxa"/>
        </w:trPr>
        <w:tc>
          <w:tcPr>
            <w:tcW w:w="6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4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8月2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日至9月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空间向量</w:t>
            </w:r>
          </w:p>
        </w:tc>
        <w:tc>
          <w:tcPr>
            <w:tcW w:w="21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6" w:hRule="atLeast"/>
          <w:tblCellSpacing w:w="0" w:type="dxa"/>
        </w:trPr>
        <w:tc>
          <w:tcPr>
            <w:tcW w:w="6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4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9月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日至9月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空间向量的应用求角</w:t>
            </w:r>
          </w:p>
        </w:tc>
        <w:tc>
          <w:tcPr>
            <w:tcW w:w="21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6" w:hRule="atLeast"/>
          <w:tblCellSpacing w:w="0" w:type="dxa"/>
        </w:trPr>
        <w:tc>
          <w:tcPr>
            <w:tcW w:w="6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34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9月 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0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 日至9月 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空间向量的应用距离</w:t>
            </w:r>
          </w:p>
        </w:tc>
        <w:tc>
          <w:tcPr>
            <w:tcW w:w="21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2" w:hRule="atLeast"/>
          <w:tblCellSpacing w:w="0" w:type="dxa"/>
        </w:trPr>
        <w:tc>
          <w:tcPr>
            <w:tcW w:w="6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34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9月 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 日至9月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23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直线方程</w:t>
            </w:r>
          </w:p>
        </w:tc>
        <w:tc>
          <w:tcPr>
            <w:tcW w:w="21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6" w:hRule="atLeast"/>
          <w:tblCellSpacing w:w="0" w:type="dxa"/>
        </w:trPr>
        <w:tc>
          <w:tcPr>
            <w:tcW w:w="6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34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9月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24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日至9月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30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直线的一般式方程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距离</w:t>
            </w:r>
          </w:p>
        </w:tc>
        <w:tc>
          <w:tcPr>
            <w:tcW w:w="21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2" w:hRule="atLeast"/>
          <w:tblCellSpacing w:w="0" w:type="dxa"/>
        </w:trPr>
        <w:tc>
          <w:tcPr>
            <w:tcW w:w="6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34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 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14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圆的方程</w:t>
            </w:r>
          </w:p>
        </w:tc>
        <w:tc>
          <w:tcPr>
            <w:tcW w:w="21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6" w:hRule="atLeast"/>
          <w:tblCellSpacing w:w="0" w:type="dxa"/>
        </w:trPr>
        <w:tc>
          <w:tcPr>
            <w:tcW w:w="6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34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直线与圆的位置关系</w:t>
            </w:r>
          </w:p>
        </w:tc>
        <w:tc>
          <w:tcPr>
            <w:tcW w:w="21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2" w:hRule="atLeast"/>
          <w:tblCellSpacing w:w="0" w:type="dxa"/>
        </w:trPr>
        <w:tc>
          <w:tcPr>
            <w:tcW w:w="6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34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22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28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复习</w:t>
            </w:r>
          </w:p>
        </w:tc>
        <w:tc>
          <w:tcPr>
            <w:tcW w:w="21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2" w:hRule="atLeast"/>
          <w:tblCellSpacing w:w="0" w:type="dxa"/>
        </w:trPr>
        <w:tc>
          <w:tcPr>
            <w:tcW w:w="6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34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29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复习</w:t>
            </w:r>
          </w:p>
        </w:tc>
        <w:tc>
          <w:tcPr>
            <w:tcW w:w="21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6" w:hRule="atLeast"/>
          <w:tblCellSpacing w:w="0" w:type="dxa"/>
        </w:trPr>
        <w:tc>
          <w:tcPr>
            <w:tcW w:w="6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34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模块学分认定测试</w:t>
            </w:r>
          </w:p>
        </w:tc>
        <w:tc>
          <w:tcPr>
            <w:tcW w:w="21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2" w:hRule="atLeast"/>
          <w:tblCellSpacing w:w="0" w:type="dxa"/>
        </w:trPr>
        <w:tc>
          <w:tcPr>
            <w:tcW w:w="6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34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tabs>
                <w:tab w:val="left" w:pos="861"/>
              </w:tabs>
              <w:snapToGrid w:val="0"/>
              <w:spacing w:line="560" w:lineRule="exact"/>
              <w:jc w:val="left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12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18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椭圆的标准方程</w:t>
            </w:r>
          </w:p>
        </w:tc>
        <w:tc>
          <w:tcPr>
            <w:tcW w:w="21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2" w:hRule="atLeast"/>
          <w:tblCellSpacing w:w="0" w:type="dxa"/>
        </w:trPr>
        <w:tc>
          <w:tcPr>
            <w:tcW w:w="6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13</w:t>
            </w:r>
          </w:p>
        </w:tc>
        <w:tc>
          <w:tcPr>
            <w:tcW w:w="34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tabs>
                <w:tab w:val="left" w:pos="861"/>
              </w:tabs>
              <w:snapToGrid w:val="0"/>
              <w:spacing w:line="560" w:lineRule="exact"/>
              <w:jc w:val="left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19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25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双曲线，抛物线</w:t>
            </w:r>
          </w:p>
        </w:tc>
        <w:tc>
          <w:tcPr>
            <w:tcW w:w="21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1" w:hRule="atLeast"/>
          <w:tblCellSpacing w:w="0" w:type="dxa"/>
        </w:trPr>
        <w:tc>
          <w:tcPr>
            <w:tcW w:w="6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14</w:t>
            </w:r>
          </w:p>
        </w:tc>
        <w:tc>
          <w:tcPr>
            <w:tcW w:w="34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tabs>
                <w:tab w:val="left" w:pos="861"/>
              </w:tabs>
              <w:snapToGrid w:val="0"/>
              <w:spacing w:line="560" w:lineRule="exact"/>
              <w:jc w:val="left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11月26日至12月2日</w:t>
            </w:r>
          </w:p>
        </w:tc>
        <w:tc>
          <w:tcPr>
            <w:tcW w:w="25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直线与圆锥曲线位置关系</w:t>
            </w:r>
          </w:p>
        </w:tc>
        <w:tc>
          <w:tcPr>
            <w:tcW w:w="21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6" w:hRule="atLeast"/>
          <w:tblCellSpacing w:w="0" w:type="dxa"/>
        </w:trPr>
        <w:tc>
          <w:tcPr>
            <w:tcW w:w="6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15</w:t>
            </w:r>
          </w:p>
        </w:tc>
        <w:tc>
          <w:tcPr>
            <w:tcW w:w="34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tabs>
                <w:tab w:val="left" w:pos="861"/>
              </w:tabs>
              <w:snapToGrid w:val="0"/>
              <w:spacing w:line="560" w:lineRule="exact"/>
              <w:jc w:val="left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12月3日至12月9日</w:t>
            </w:r>
          </w:p>
        </w:tc>
        <w:tc>
          <w:tcPr>
            <w:tcW w:w="25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圆锥曲线综合练习</w:t>
            </w:r>
          </w:p>
        </w:tc>
        <w:tc>
          <w:tcPr>
            <w:tcW w:w="21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2" w:hRule="atLeast"/>
          <w:tblCellSpacing w:w="0" w:type="dxa"/>
        </w:trPr>
        <w:tc>
          <w:tcPr>
            <w:tcW w:w="6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16</w:t>
            </w:r>
          </w:p>
        </w:tc>
        <w:tc>
          <w:tcPr>
            <w:tcW w:w="34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tabs>
                <w:tab w:val="left" w:pos="861"/>
              </w:tabs>
              <w:snapToGrid w:val="0"/>
              <w:spacing w:line="560" w:lineRule="exact"/>
              <w:jc w:val="left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12月10日至12月16日</w:t>
            </w:r>
          </w:p>
        </w:tc>
        <w:tc>
          <w:tcPr>
            <w:tcW w:w="25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数列的概念</w:t>
            </w:r>
          </w:p>
        </w:tc>
        <w:tc>
          <w:tcPr>
            <w:tcW w:w="21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6" w:hRule="atLeast"/>
          <w:tblCellSpacing w:w="0" w:type="dxa"/>
        </w:trPr>
        <w:tc>
          <w:tcPr>
            <w:tcW w:w="6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17</w:t>
            </w:r>
          </w:p>
        </w:tc>
        <w:tc>
          <w:tcPr>
            <w:tcW w:w="34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tabs>
                <w:tab w:val="left" w:pos="927"/>
              </w:tabs>
              <w:snapToGrid w:val="0"/>
              <w:spacing w:line="560" w:lineRule="exact"/>
              <w:jc w:val="left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12月17日至12月23日</w:t>
            </w:r>
          </w:p>
        </w:tc>
        <w:tc>
          <w:tcPr>
            <w:tcW w:w="25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等比数列及前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n项和</w:t>
            </w:r>
          </w:p>
        </w:tc>
        <w:tc>
          <w:tcPr>
            <w:tcW w:w="21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2" w:hRule="atLeast"/>
          <w:tblCellSpacing w:w="0" w:type="dxa"/>
        </w:trPr>
        <w:tc>
          <w:tcPr>
            <w:tcW w:w="6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18</w:t>
            </w:r>
          </w:p>
        </w:tc>
        <w:tc>
          <w:tcPr>
            <w:tcW w:w="34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tabs>
                <w:tab w:val="left" w:pos="927"/>
              </w:tabs>
              <w:snapToGrid w:val="0"/>
              <w:spacing w:line="560" w:lineRule="exact"/>
              <w:jc w:val="left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12月24日至12月30日</w:t>
            </w:r>
          </w:p>
        </w:tc>
        <w:tc>
          <w:tcPr>
            <w:tcW w:w="25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数列综合应用</w:t>
            </w:r>
          </w:p>
        </w:tc>
        <w:tc>
          <w:tcPr>
            <w:tcW w:w="21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2" w:hRule="atLeast"/>
          <w:tblCellSpacing w:w="0" w:type="dxa"/>
        </w:trPr>
        <w:tc>
          <w:tcPr>
            <w:tcW w:w="6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19</w:t>
            </w:r>
          </w:p>
        </w:tc>
        <w:tc>
          <w:tcPr>
            <w:tcW w:w="34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tabs>
                <w:tab w:val="left" w:pos="927"/>
              </w:tabs>
              <w:snapToGrid w:val="0"/>
              <w:spacing w:line="560" w:lineRule="exact"/>
              <w:jc w:val="left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12月31日至1月6日</w:t>
            </w:r>
          </w:p>
        </w:tc>
        <w:tc>
          <w:tcPr>
            <w:tcW w:w="25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复习</w:t>
            </w:r>
          </w:p>
        </w:tc>
        <w:tc>
          <w:tcPr>
            <w:tcW w:w="21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2" w:hRule="atLeast"/>
          <w:tblCellSpacing w:w="0" w:type="dxa"/>
        </w:trPr>
        <w:tc>
          <w:tcPr>
            <w:tcW w:w="6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20</w:t>
            </w:r>
          </w:p>
        </w:tc>
        <w:tc>
          <w:tcPr>
            <w:tcW w:w="34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tabs>
                <w:tab w:val="left" w:pos="927"/>
              </w:tabs>
              <w:snapToGrid w:val="0"/>
              <w:spacing w:line="560" w:lineRule="exact"/>
              <w:jc w:val="left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1月7日至1月13日</w:t>
            </w:r>
          </w:p>
        </w:tc>
        <w:tc>
          <w:tcPr>
            <w:tcW w:w="25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复习</w:t>
            </w:r>
          </w:p>
        </w:tc>
        <w:tc>
          <w:tcPr>
            <w:tcW w:w="21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2" w:hRule="atLeast"/>
          <w:tblCellSpacing w:w="0" w:type="dxa"/>
        </w:trPr>
        <w:tc>
          <w:tcPr>
            <w:tcW w:w="6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21</w:t>
            </w:r>
          </w:p>
        </w:tc>
        <w:tc>
          <w:tcPr>
            <w:tcW w:w="34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tabs>
                <w:tab w:val="left" w:pos="927"/>
              </w:tabs>
              <w:snapToGrid w:val="0"/>
              <w:spacing w:line="560" w:lineRule="exact"/>
              <w:jc w:val="left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1月14日至1月20日</w:t>
            </w:r>
          </w:p>
        </w:tc>
        <w:tc>
          <w:tcPr>
            <w:tcW w:w="25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复习</w:t>
            </w:r>
          </w:p>
        </w:tc>
        <w:tc>
          <w:tcPr>
            <w:tcW w:w="21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1" w:hRule="atLeast"/>
          <w:tblCellSpacing w:w="0" w:type="dxa"/>
        </w:trPr>
        <w:tc>
          <w:tcPr>
            <w:tcW w:w="6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22</w:t>
            </w:r>
          </w:p>
        </w:tc>
        <w:tc>
          <w:tcPr>
            <w:tcW w:w="34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tabs>
                <w:tab w:val="left" w:pos="927"/>
              </w:tabs>
              <w:snapToGrid w:val="0"/>
              <w:spacing w:line="560" w:lineRule="exact"/>
              <w:jc w:val="left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1月21日至1月27日</w:t>
            </w:r>
          </w:p>
        </w:tc>
        <w:tc>
          <w:tcPr>
            <w:tcW w:w="25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模块学分认定测试</w:t>
            </w:r>
          </w:p>
        </w:tc>
        <w:tc>
          <w:tcPr>
            <w:tcW w:w="21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</w:tbl>
    <w:p>
      <w:pPr>
        <w:pStyle w:val="4"/>
        <w:snapToGrid w:val="0"/>
        <w:spacing w:before="0" w:beforeAutospacing="0" w:after="0" w:afterAutospacing="0" w:line="560" w:lineRule="exact"/>
        <w:rPr>
          <w:rFonts w:hint="eastAsia" w:ascii="楷体_GB2312" w:hAnsi="黑体" w:eastAsia="楷体_GB2312"/>
          <w:bCs/>
          <w:sz w:val="32"/>
          <w:szCs w:val="32"/>
        </w:rPr>
      </w:pPr>
      <w:r>
        <w:rPr>
          <w:rFonts w:hint="eastAsia" w:ascii="楷体_GB2312" w:hAnsi="黑体" w:eastAsia="楷体_GB2312"/>
          <w:bCs/>
          <w:sz w:val="32"/>
          <w:szCs w:val="32"/>
        </w:rPr>
        <w:t>（二）第二学期</w:t>
      </w:r>
    </w:p>
    <w:tbl>
      <w:tblPr>
        <w:tblStyle w:val="5"/>
        <w:tblW w:w="8781" w:type="dxa"/>
        <w:tblCellSpacing w:w="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72"/>
        <w:gridCol w:w="3431"/>
        <w:gridCol w:w="2566"/>
        <w:gridCol w:w="211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周次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时间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教学内容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教时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计数原理排列组合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12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18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二项式定理随机变量及其分布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 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 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25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离散型分布列及其数字特征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26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二项分布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超几何分布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12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18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正态分布及综合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19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25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成对数据的统计分析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 xml:space="preserve"> 相关性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26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列联表与独立性检验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期中复习一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15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期中复习二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16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22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期中复习三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23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29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模块学分认定测试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13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30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导数的概念导数运算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14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13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导数在研究函数中的应用一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15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14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20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导数在研究函数中的应用二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16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27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导数在研究函数综合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17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28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集合充分必要条件不等式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18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函数的概念及性质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19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17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指数对数函数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20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18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24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函数的零点及模型应用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21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25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总复习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22</w:t>
            </w:r>
          </w:p>
        </w:tc>
        <w:tc>
          <w:tcPr>
            <w:tcW w:w="34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  <w:r>
              <w:rPr>
                <w:rFonts w:hint="eastAsia"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eastAsia="zh-CN"/>
              </w:rPr>
              <w:t>模块学分认定测试</w:t>
            </w:r>
          </w:p>
        </w:tc>
        <w:tc>
          <w:tcPr>
            <w:tcW w:w="2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仿宋_GB2312" w:eastAsia="仿宋_GB2312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32"/>
                <w:szCs w:val="32"/>
                <w:lang w:val="en-US" w:eastAsia="zh-CN"/>
              </w:rPr>
              <w:t>8</w:t>
            </w:r>
          </w:p>
        </w:tc>
      </w:tr>
    </w:tbl>
    <w:p>
      <w:pPr>
        <w:pStyle w:val="4"/>
        <w:snapToGrid w:val="0"/>
        <w:spacing w:before="0" w:beforeAutospacing="0" w:after="0" w:afterAutospacing="0" w:line="560" w:lineRule="exact"/>
        <w:rPr>
          <w:rFonts w:ascii="黑体" w:hAnsi="黑体" w:eastAsia="黑体"/>
          <w:bCs/>
          <w:sz w:val="32"/>
          <w:szCs w:val="32"/>
        </w:rPr>
      </w:pPr>
    </w:p>
    <w:p>
      <w:pPr>
        <w:pStyle w:val="4"/>
        <w:snapToGrid w:val="0"/>
        <w:spacing w:before="0" w:beforeAutospacing="0" w:after="0" w:afterAutospacing="0" w:line="560" w:lineRule="exact"/>
        <w:rPr>
          <w:rFonts w:ascii="黑体" w:hAnsi="黑体" w:eastAsia="黑体"/>
          <w:bCs/>
          <w:sz w:val="32"/>
          <w:szCs w:val="32"/>
        </w:rPr>
      </w:pPr>
    </w:p>
    <w:p>
      <w:pPr>
        <w:pStyle w:val="4"/>
        <w:snapToGrid w:val="0"/>
        <w:spacing w:before="0" w:beforeAutospacing="0" w:after="0" w:afterAutospacing="0" w:line="560" w:lineRule="exact"/>
        <w:rPr>
          <w:rFonts w:ascii="黑体" w:hAnsi="黑体" w:eastAsia="黑体"/>
          <w:bCs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EyYjAxN2YwNDg5YjRlNzZjZjBhNzU1MTc1ZDI3ZGMifQ=="/>
  </w:docVars>
  <w:rsids>
    <w:rsidRoot w:val="0039482B"/>
    <w:rsid w:val="000D1C73"/>
    <w:rsid w:val="00377042"/>
    <w:rsid w:val="0039482B"/>
    <w:rsid w:val="005123A7"/>
    <w:rsid w:val="00805961"/>
    <w:rsid w:val="00C264E1"/>
    <w:rsid w:val="00D07898"/>
    <w:rsid w:val="00DC5E27"/>
    <w:rsid w:val="00E952DC"/>
    <w:rsid w:val="0527073B"/>
    <w:rsid w:val="098A46BA"/>
    <w:rsid w:val="237517C1"/>
    <w:rsid w:val="662E5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eastAsia="宋体" w:cs="宋体"/>
      <w:color w:val="161616"/>
      <w:sz w:val="24"/>
      <w:szCs w:val="24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1872</Words>
  <Characters>1995</Characters>
  <Lines>4</Lines>
  <Paragraphs>1</Paragraphs>
  <TotalTime>3</TotalTime>
  <ScaleCrop>false</ScaleCrop>
  <LinksUpToDate>false</LinksUpToDate>
  <CharactersWithSpaces>2066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2023-08-27T08:06:00Z</dcterms:created>
  <dc:creator>Administrator</dc:creator>
  <cp:lastModifiedBy>风</cp:lastModifiedBy>
  <dcterms:modified xsi:type="dcterms:W3CDTF">2023-08-30T09:22:05Z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491B52C5325E4EAAA49A2693B4448992_13</vt:lpwstr>
  </property>
</Properties>
</file>