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CF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烟台市应急局对冶金企业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  <w:t>部门联合“双随机、一公开”检查结果</w:t>
      </w:r>
    </w:p>
    <w:tbl>
      <w:tblPr>
        <w:tblStyle w:val="3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96"/>
        <w:gridCol w:w="1596"/>
        <w:gridCol w:w="1584"/>
        <w:gridCol w:w="1284"/>
        <w:gridCol w:w="1272"/>
        <w:gridCol w:w="4809"/>
        <w:gridCol w:w="1505"/>
      </w:tblGrid>
      <w:tr w14:paraId="1D4C5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E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0C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检查对象统一社会信用代码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2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地址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5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检查实施机关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75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</w:tr>
      <w:tr w14:paraId="33088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烟台国润铜业有限公司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32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9137060007965070XH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91A6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山东省烟台市芝罘区化工路45、47号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9579">
            <w:pPr>
              <w:rPr>
                <w:rFonts w:hint="default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烟台市应急局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925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2024.10.22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52AD">
            <w:pPr>
              <w:jc w:val="left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1.安全生产管理机构和人员情况；2.组织保障、管理制度和责任制落实情况；3.有限空间作业管理情况；4.高温设备安全保护措施配备情况；5.安全风险较高场所监测报警装置和防爆装置设置情况；6.液氨使用安全情况。7.冶金有色企业建设项目安全评价及建设项目安全设施“三同时”情况；8.冶金有色企业防积水情况；9.有色金属铸造、浇铸流程紧急排放和应急储存设施情况；10.主要负责人、安全生产管理人员和特种作业人员培训情况；11.应急预案编制、发布、备案、教育培训及演练情况；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A3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本次检查未发现问题</w:t>
            </w:r>
          </w:p>
        </w:tc>
      </w:tr>
      <w:tr w14:paraId="20BFF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bookmarkStart w:id="0" w:name="_GoBack"/>
            <w:bookmarkEnd w:id="0"/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776BF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8314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2D04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7CA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9F22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5F19F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18B0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3987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7B0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  <w:tc>
          <w:tcPr>
            <w:tcW w:w="13346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27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0BD24A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00A65AE9"/>
    <w:rsid w:val="72D0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373</Characters>
  <Lines>0</Lines>
  <Paragraphs>0</Paragraphs>
  <TotalTime>2</TotalTime>
  <ScaleCrop>false</ScaleCrop>
  <LinksUpToDate>false</LinksUpToDate>
  <CharactersWithSpaces>373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2024-11-20T00:51:00Z</dcterms:created>
  <dc:creator>sfm</dc:creator>
  <cp:lastModifiedBy>简寂</cp:lastModifiedBy>
  <dcterms:modified xsi:type="dcterms:W3CDTF">2024-11-20T01:19:21Z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9D6EB159E6634D038A90FA4E2ABA63DD_12</vt:lpwstr>
  </property>
</Properties>
</file>