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r>
        <w:rPr>
          <w:sz w:val="44"/>
        </w:rPr>
        <mc:AlternateContent>
          <mc:Choice Requires="wps">
            <w:drawing>
              <wp:anchor distT="0" distB="0" distL="114300" distR="114300" simplePos="0" relativeHeight="251729920" behindDoc="0" locked="0" layoutInCell="1" allowOverlap="1">
                <wp:simplePos x="0" y="0"/>
                <wp:positionH relativeFrom="column">
                  <wp:posOffset>2505075</wp:posOffset>
                </wp:positionH>
                <wp:positionV relativeFrom="paragraph">
                  <wp:posOffset>112395</wp:posOffset>
                </wp:positionV>
                <wp:extent cx="1932940" cy="586105"/>
                <wp:effectExtent l="0" t="0" r="10160" b="4445"/>
                <wp:wrapNone/>
                <wp:docPr id="3" name="文本框 9"/>
                <wp:cNvGraphicFramePr/>
                <a:graphic xmlns:a="http://schemas.openxmlformats.org/drawingml/2006/main">
                  <a:graphicData uri="http://schemas.microsoft.com/office/word/2010/wordprocessingShape">
                    <wps:wsp>
                      <wps:cNvSpPr txBox="1"/>
                      <wps:spPr>
                        <a:xfrm>
                          <a:off x="0" y="0"/>
                          <a:ext cx="1932940" cy="586105"/>
                        </a:xfrm>
                        <a:prstGeom prst="rect">
                          <a:avLst/>
                        </a:prstGeom>
                        <a:noFill/>
                        <a:ln w="9525">
                          <a:noFill/>
                        </a:ln>
                        <a:effectLst/>
                      </wps:spPr>
                      <wps:txbx>
                        <w:txbxContent>
                          <w:p>
                            <w:pPr>
                              <w:pStyle w:val="5"/>
                              <w:widowControl/>
                              <w:spacing w:line="360" w:lineRule="exact"/>
                              <w:jc w:val="distribute"/>
                              <w:rPr>
                                <w:rFonts w:ascii="黑体" w:hAnsi="黑体" w:eastAsia="黑体" w:cs="黑体"/>
                                <w:b/>
                                <w:color w:val="000000"/>
                                <w:sz w:val="21"/>
                                <w:szCs w:val="21"/>
                              </w:rPr>
                            </w:pPr>
                            <w:r>
                              <w:rPr>
                                <w:rFonts w:hint="eastAsia" w:ascii="黑体" w:hAnsi="黑体" w:eastAsia="黑体" w:cs="黑体"/>
                                <w:b/>
                                <w:color w:val="000000"/>
                                <w:sz w:val="21"/>
                                <w:szCs w:val="21"/>
                              </w:rPr>
                              <w:t>http://www.yantai.gov.cn</w:t>
                            </w:r>
                          </w:p>
                          <w:p>
                            <w:pPr>
                              <w:pStyle w:val="5"/>
                              <w:widowControl/>
                              <w:spacing w:line="360" w:lineRule="exact"/>
                              <w:jc w:val="distribute"/>
                              <w:rPr>
                                <w:rFonts w:ascii="黑体" w:hAnsi="黑体" w:eastAsia="黑体" w:cs="黑体"/>
                                <w:b/>
                                <w:color w:val="C00000"/>
                                <w:sz w:val="28"/>
                                <w:szCs w:val="28"/>
                              </w:rPr>
                            </w:pPr>
                            <w:r>
                              <w:rPr>
                                <w:rFonts w:hint="eastAsia" w:ascii="黑体" w:hAnsi="黑体" w:eastAsia="黑体" w:cs="黑体"/>
                                <w:b/>
                                <w:color w:val="C00000"/>
                                <w:sz w:val="28"/>
                                <w:szCs w:val="28"/>
                              </w:rPr>
                              <w:t>烟台市人民政府</w:t>
                            </w:r>
                          </w:p>
                          <w:p>
                            <w:pPr>
                              <w:rPr>
                                <w:rFonts w:ascii="黑体" w:hAnsi="黑体" w:eastAsia="黑体" w:cs="黑体"/>
                                <w:b/>
                              </w:rPr>
                            </w:pPr>
                          </w:p>
                        </w:txbxContent>
                      </wps:txbx>
                      <wps:bodyPr upright="1"/>
                    </wps:wsp>
                  </a:graphicData>
                </a:graphic>
              </wp:anchor>
            </w:drawing>
          </mc:Choice>
          <mc:Fallback>
            <w:pict>
              <v:shape id="文本框 9" o:spid="_x0000_s1026" o:spt="202" type="#_x0000_t202" style="position:absolute;left:0pt;margin-left:197.25pt;margin-top:8.85pt;height:46.15pt;width:152.2pt;z-index:251729920;mso-width-relative:page;mso-height-relative:page;" filled="f" stroked="f" coordsize="21600,21600" o:gfxdata="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C0sTuU1wAAAAoBAAAPAAAAAAAAAAEA&#10;IAAAACIAAABkcnMvZG93bnJldi54bWxQSwECFAAUAAAACACHTuJAdI9Dmp4BAAAXAwAADgAAAAAA&#10;AAABACAAAAAmAQAAZHJzL2Uyb0RvYy54bWxQSwUGAAAAAAYABgBZAQAANgUAAAAA&#10;">
                <v:fill on="f" focussize="0,0"/>
                <v:stroke on="f"/>
                <v:imagedata o:title=""/>
                <o:lock v:ext="edit" aspectratio="f"/>
                <v:textbox>
                  <w:txbxContent>
                    <w:p>
                      <w:pPr>
                        <w:pStyle w:val="5"/>
                        <w:widowControl/>
                        <w:spacing w:line="360" w:lineRule="exact"/>
                        <w:jc w:val="distribute"/>
                        <w:rPr>
                          <w:rFonts w:ascii="黑体" w:hAnsi="黑体" w:eastAsia="黑体" w:cs="黑体"/>
                          <w:b/>
                          <w:color w:val="000000"/>
                          <w:sz w:val="21"/>
                          <w:szCs w:val="21"/>
                        </w:rPr>
                      </w:pPr>
                      <w:r>
                        <w:rPr>
                          <w:rFonts w:hint="eastAsia" w:ascii="黑体" w:hAnsi="黑体" w:eastAsia="黑体" w:cs="黑体"/>
                          <w:b/>
                          <w:color w:val="000000"/>
                          <w:sz w:val="21"/>
                          <w:szCs w:val="21"/>
                        </w:rPr>
                        <w:t>http://www.yantai.gov.cn</w:t>
                      </w:r>
                    </w:p>
                    <w:p>
                      <w:pPr>
                        <w:pStyle w:val="5"/>
                        <w:widowControl/>
                        <w:spacing w:line="360" w:lineRule="exact"/>
                        <w:jc w:val="distribute"/>
                        <w:rPr>
                          <w:rFonts w:ascii="黑体" w:hAnsi="黑体" w:eastAsia="黑体" w:cs="黑体"/>
                          <w:b/>
                          <w:color w:val="C00000"/>
                          <w:sz w:val="28"/>
                          <w:szCs w:val="28"/>
                        </w:rPr>
                      </w:pPr>
                      <w:r>
                        <w:rPr>
                          <w:rFonts w:hint="eastAsia" w:ascii="黑体" w:hAnsi="黑体" w:eastAsia="黑体" w:cs="黑体"/>
                          <w:b/>
                          <w:color w:val="C00000"/>
                          <w:sz w:val="28"/>
                          <w:szCs w:val="28"/>
                        </w:rPr>
                        <w:t>烟台市人民政府</w:t>
                      </w:r>
                    </w:p>
                    <w:p>
                      <w:pPr>
                        <w:rPr>
                          <w:rFonts w:ascii="黑体" w:hAnsi="黑体" w:eastAsia="黑体" w:cs="黑体"/>
                          <w:b/>
                        </w:rPr>
                      </w:pPr>
                    </w:p>
                  </w:txbxContent>
                </v:textbox>
              </v:shape>
            </w:pict>
          </mc:Fallback>
        </mc:AlternateContent>
      </w:r>
      <w:r>
        <w:rPr>
          <w:rFonts w:hint="eastAsia" w:ascii="方正小标宋简体" w:hAnsi="方正小标宋简体" w:eastAsia="方正小标宋简体" w:cs="方正小标宋简体"/>
          <w:bCs/>
          <w:color w:val="000000"/>
          <w:sz w:val="44"/>
          <w:szCs w:val="44"/>
        </w:rPr>
        <w:drawing>
          <wp:anchor distT="0" distB="0" distL="114300" distR="114300" simplePos="0" relativeHeight="251731968" behindDoc="1" locked="0" layoutInCell="1" allowOverlap="1">
            <wp:simplePos x="0" y="0"/>
            <wp:positionH relativeFrom="column">
              <wp:posOffset>1144270</wp:posOffset>
            </wp:positionH>
            <wp:positionV relativeFrom="paragraph">
              <wp:posOffset>-739775</wp:posOffset>
            </wp:positionV>
            <wp:extent cx="1863090" cy="2010410"/>
            <wp:effectExtent l="0" t="0" r="3810" b="8890"/>
            <wp:wrapNone/>
            <wp:docPr id="2" name="图片 8" descr="标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标志2"/>
                    <pic:cNvPicPr>
                      <a:picLocks noChangeAspect="1"/>
                    </pic:cNvPicPr>
                  </pic:nvPicPr>
                  <pic:blipFill>
                    <a:blip r:embed="rId8"/>
                    <a:stretch>
                      <a:fillRect/>
                    </a:stretch>
                  </pic:blipFill>
                  <pic:spPr>
                    <a:xfrm>
                      <a:off x="0" y="0"/>
                      <a:ext cx="1863090" cy="2010410"/>
                    </a:xfrm>
                    <a:prstGeom prst="rect">
                      <a:avLst/>
                    </a:prstGeom>
                    <a:noFill/>
                    <a:ln w="9525">
                      <a:noFill/>
                    </a:ln>
                  </pic:spPr>
                </pic:pic>
              </a:graphicData>
            </a:graphic>
          </wp:anchor>
        </w:drawing>
      </w: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700" w:lineRule="exact"/>
        <w:jc w:val="center"/>
        <w:rPr>
          <w:rFonts w:ascii="方正小标宋简体" w:hAnsi="方正小标宋简体" w:eastAsia="方正小标宋简体" w:cs="方正小标宋简体"/>
          <w:bCs/>
          <w:color w:val="000000"/>
          <w:sz w:val="56"/>
          <w:szCs w:val="56"/>
        </w:rPr>
      </w:pPr>
      <w:r>
        <w:rPr>
          <w:rFonts w:hint="eastAsia" w:ascii="方正小标宋简体" w:hAnsi="方正小标宋简体" w:eastAsia="方正小标宋简体" w:cs="方正小标宋简体"/>
          <w:bCs/>
          <w:color w:val="000000"/>
          <w:sz w:val="56"/>
          <w:szCs w:val="56"/>
        </w:rPr>
        <w:t>烟台市</w:t>
      </w:r>
      <w:r>
        <w:rPr>
          <w:rFonts w:ascii="方正小标宋简体" w:hAnsi="方正小标宋简体" w:eastAsia="方正小标宋简体" w:cs="方正小标宋简体"/>
          <w:bCs/>
          <w:color w:val="000000"/>
          <w:sz w:val="56"/>
          <w:szCs w:val="56"/>
        </w:rPr>
        <w:t>2019</w:t>
      </w:r>
      <w:r>
        <w:rPr>
          <w:rFonts w:hint="eastAsia" w:ascii="方正小标宋简体" w:hAnsi="方正小标宋简体" w:eastAsia="方正小标宋简体" w:cs="方正小标宋简体"/>
          <w:bCs/>
          <w:color w:val="000000"/>
          <w:sz w:val="56"/>
          <w:szCs w:val="56"/>
        </w:rPr>
        <w:t>年政府信息公开工作</w:t>
      </w:r>
    </w:p>
    <w:p>
      <w:pPr>
        <w:pStyle w:val="5"/>
        <w:widowControl/>
        <w:spacing w:line="700" w:lineRule="exact"/>
        <w:jc w:val="center"/>
        <w:rPr>
          <w:rFonts w:ascii="方正小标宋简体" w:hAnsi="方正小标宋简体" w:eastAsia="方正小标宋简体" w:cs="方正小标宋简体"/>
          <w:bCs/>
          <w:color w:val="000000"/>
          <w:sz w:val="56"/>
          <w:szCs w:val="56"/>
        </w:rPr>
      </w:pPr>
      <w:r>
        <w:rPr>
          <w:rFonts w:hint="eastAsia" w:ascii="方正小标宋简体" w:hAnsi="方正小标宋简体" w:eastAsia="方正小标宋简体" w:cs="方正小标宋简体"/>
          <w:bCs/>
          <w:color w:val="000000"/>
          <w:sz w:val="56"/>
          <w:szCs w:val="56"/>
        </w:rPr>
        <w:t>年 度 报 告</w:t>
      </w: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28"/>
          <w:szCs w:val="28"/>
        </w:rPr>
      </w:pPr>
      <w:r>
        <w:rPr>
          <w:rFonts w:hint="eastAsia" w:ascii="方正小标宋简体" w:hAnsi="方正小标宋简体" w:eastAsia="方正小标宋简体" w:cs="方正小标宋简体"/>
          <w:bCs/>
          <w:color w:val="000000"/>
          <w:sz w:val="44"/>
          <w:szCs w:val="44"/>
        </w:rPr>
        <w:t xml:space="preserve">         </w:t>
      </w: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560" w:lineRule="exact"/>
        <w:jc w:val="center"/>
        <w:rPr>
          <w:rFonts w:ascii="方正小标宋简体" w:hAnsi="方正小标宋简体" w:eastAsia="方正小标宋简体" w:cs="方正小标宋简体"/>
          <w:bCs/>
          <w:color w:val="000000"/>
          <w:sz w:val="44"/>
          <w:szCs w:val="44"/>
        </w:rPr>
      </w:pPr>
    </w:p>
    <w:p>
      <w:pPr>
        <w:pStyle w:val="5"/>
        <w:widowControl/>
        <w:spacing w:line="480" w:lineRule="exact"/>
        <w:jc w:val="center"/>
        <w:rPr>
          <w:rFonts w:ascii="黑体" w:hAnsi="黑体" w:eastAsia="黑体" w:cs="黑体"/>
          <w:bCs/>
          <w:color w:val="000000"/>
          <w:sz w:val="32"/>
          <w:szCs w:val="32"/>
        </w:rPr>
      </w:pPr>
    </w:p>
    <w:p>
      <w:pPr>
        <w:pStyle w:val="5"/>
        <w:widowControl/>
        <w:spacing w:line="480" w:lineRule="exact"/>
        <w:jc w:val="center"/>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烟台市人民政府</w:t>
      </w:r>
    </w:p>
    <w:p>
      <w:pPr>
        <w:pStyle w:val="5"/>
        <w:widowControl/>
        <w:spacing w:line="480" w:lineRule="exact"/>
        <w:jc w:val="center"/>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drawing>
          <wp:anchor distT="0" distB="0" distL="114300" distR="114300" simplePos="0" relativeHeight="251692032" behindDoc="1" locked="0" layoutInCell="1" allowOverlap="1">
            <wp:simplePos x="0" y="0"/>
            <wp:positionH relativeFrom="column">
              <wp:posOffset>32385</wp:posOffset>
            </wp:positionH>
            <wp:positionV relativeFrom="paragraph">
              <wp:posOffset>180975</wp:posOffset>
            </wp:positionV>
            <wp:extent cx="5611495" cy="1565275"/>
            <wp:effectExtent l="0" t="0" r="8255" b="15875"/>
            <wp:wrapNone/>
            <wp:docPr id="1" name="图片 5"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未标题-1"/>
                    <pic:cNvPicPr>
                      <a:picLocks noChangeAspect="1"/>
                    </pic:cNvPicPr>
                  </pic:nvPicPr>
                  <pic:blipFill>
                    <a:blip r:embed="rId9">
                      <a:lum bright="17999"/>
                    </a:blip>
                    <a:srcRect t="43825"/>
                    <a:stretch>
                      <a:fillRect/>
                    </a:stretch>
                  </pic:blipFill>
                  <pic:spPr>
                    <a:xfrm>
                      <a:off x="0" y="0"/>
                      <a:ext cx="5611495" cy="1565275"/>
                    </a:xfrm>
                    <a:prstGeom prst="rect">
                      <a:avLst/>
                    </a:prstGeom>
                    <a:noFill/>
                    <a:ln w="9525">
                      <a:noFill/>
                    </a:ln>
                  </pic:spPr>
                </pic:pic>
              </a:graphicData>
            </a:graphic>
          </wp:anchor>
        </w:drawing>
      </w:r>
      <w:r>
        <w:rPr>
          <w:rFonts w:hint="eastAsia" w:ascii="楷体_GB2312" w:hAnsi="楷体_GB2312" w:eastAsia="楷体_GB2312" w:cs="楷体_GB2312"/>
          <w:bCs/>
          <w:color w:val="000000"/>
          <w:sz w:val="32"/>
          <w:szCs w:val="32"/>
        </w:rPr>
        <w:t>2020年3月</w:t>
      </w:r>
    </w:p>
    <w:p>
      <w:pPr>
        <w:pStyle w:val="5"/>
        <w:widowControl/>
        <w:spacing w:line="480" w:lineRule="exact"/>
        <w:jc w:val="center"/>
        <w:rPr>
          <w:rFonts w:hint="eastAsia" w:ascii="方正小标宋简体" w:hAnsi="方正小标宋简体" w:eastAsia="方正小标宋简体" w:cs="方正小标宋简体"/>
          <w:bCs/>
          <w:color w:val="000000"/>
          <w:sz w:val="44"/>
          <w:szCs w:val="44"/>
        </w:rPr>
        <w:sectPr>
          <w:footerReference r:id="rId3" w:type="default"/>
          <w:footerReference r:id="rId4" w:type="even"/>
          <w:pgSz w:w="11906" w:h="16838"/>
          <w:pgMar w:top="2098" w:right="1531" w:bottom="1984" w:left="1531" w:header="851" w:footer="1418" w:gutter="0"/>
          <w:pgNumType w:start="1"/>
          <w:cols w:space="425" w:num="1"/>
          <w:docGrid w:type="linesAndChars" w:linePitch="579" w:charSpace="-849"/>
        </w:sectPr>
      </w:pPr>
      <w:r>
        <w:rPr>
          <w:rFonts w:hint="eastAsia" w:ascii="黑体" w:hAnsi="黑体" w:eastAsia="黑体" w:cs="黑体"/>
          <w:bCs/>
          <w:color w:val="000000"/>
          <w:sz w:val="32"/>
          <w:szCs w:val="32"/>
        </w:rPr>
        <w:br w:type="page"/>
      </w:r>
    </w:p>
    <w:p>
      <w:pPr>
        <w:pStyle w:val="5"/>
        <w:widowControl/>
        <w:spacing w:line="560" w:lineRule="exact"/>
        <w:jc w:val="center"/>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lang w:eastAsia="zh-CN"/>
        </w:rPr>
        <w:t>政府信</w:t>
      </w:r>
      <w:r>
        <w:rPr>
          <w:rFonts w:hint="eastAsia" w:ascii="方正小标宋简体" w:hAnsi="方正小标宋简体" w:eastAsia="方正小标宋简体" w:cs="方正小标宋简体"/>
          <w:bCs/>
          <w:color w:val="000000"/>
          <w:sz w:val="44"/>
          <w:szCs w:val="44"/>
        </w:rPr>
        <w:t>息公开工作年度报告六大版块</w:t>
      </w:r>
    </w:p>
    <w:p>
      <w:pPr>
        <w:pStyle w:val="5"/>
        <w:widowControl/>
        <w:spacing w:line="440" w:lineRule="exact"/>
        <w:ind w:firstLine="552" w:firstLineChars="200"/>
        <w:rPr>
          <w:rFonts w:ascii="仿宋_GB2312" w:hAnsi="仿宋_GB2312" w:cs="仿宋_GB2312"/>
          <w:bCs/>
          <w:color w:val="000000"/>
          <w:sz w:val="28"/>
          <w:szCs w:val="28"/>
        </w:rPr>
      </w:pPr>
    </w:p>
    <w:p>
      <w:pPr>
        <w:pStyle w:val="5"/>
        <w:widowControl/>
        <w:spacing w:line="440" w:lineRule="exact"/>
        <w:ind w:firstLine="552" w:firstLineChars="200"/>
        <w:rPr>
          <w:rFonts w:ascii="仿宋_GB2312" w:hAnsi="仿宋_GB2312" w:cs="仿宋_GB2312"/>
          <w:bCs/>
          <w:color w:val="000000"/>
          <w:sz w:val="28"/>
          <w:szCs w:val="28"/>
        </w:rPr>
      </w:pPr>
    </w:p>
    <w:p>
      <w:pPr>
        <w:pStyle w:val="5"/>
        <w:widowControl/>
        <w:spacing w:line="440" w:lineRule="exact"/>
        <w:ind w:firstLine="552" w:firstLineChars="200"/>
        <w:rPr>
          <w:rFonts w:ascii="仿宋_GB2312" w:hAnsi="仿宋_GB2312" w:cs="仿宋_GB2312"/>
          <w:bCs/>
          <w:color w:val="000000"/>
          <w:sz w:val="28"/>
          <w:szCs w:val="28"/>
        </w:rPr>
      </w:pPr>
      <w:r>
        <w:rPr>
          <w:rFonts w:hint="eastAsia" w:ascii="仿宋_GB2312" w:hAnsi="仿宋_GB2312" w:cs="仿宋_GB2312"/>
          <w:sz w:val="28"/>
          <w:szCs w:val="28"/>
        </w:rPr>
        <w:drawing>
          <wp:anchor distT="0" distB="0" distL="114300" distR="114300" simplePos="0" relativeHeight="251730944" behindDoc="0" locked="0" layoutInCell="1" allowOverlap="1">
            <wp:simplePos x="0" y="0"/>
            <wp:positionH relativeFrom="column">
              <wp:posOffset>51435</wp:posOffset>
            </wp:positionH>
            <wp:positionV relativeFrom="paragraph">
              <wp:posOffset>43815</wp:posOffset>
            </wp:positionV>
            <wp:extent cx="5401310" cy="3458210"/>
            <wp:effectExtent l="0" t="0" r="8890" b="8890"/>
            <wp:wrapSquare wrapText="bothSides"/>
            <wp:docPr id="4" name="图片 31" descr="报告分六大模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1" descr="报告分六大模块"/>
                    <pic:cNvPicPr>
                      <a:picLocks noChangeAspect="1"/>
                    </pic:cNvPicPr>
                  </pic:nvPicPr>
                  <pic:blipFill>
                    <a:blip r:embed="rId10"/>
                    <a:srcRect t="15518" b="20456"/>
                    <a:stretch>
                      <a:fillRect/>
                    </a:stretch>
                  </pic:blipFill>
                  <pic:spPr>
                    <a:xfrm>
                      <a:off x="0" y="0"/>
                      <a:ext cx="5401310" cy="3458210"/>
                    </a:xfrm>
                    <a:prstGeom prst="rect">
                      <a:avLst/>
                    </a:prstGeom>
                    <a:noFill/>
                    <a:ln w="9525">
                      <a:noFill/>
                    </a:ln>
                  </pic:spPr>
                </pic:pic>
              </a:graphicData>
            </a:graphic>
          </wp:anchor>
        </w:drawing>
      </w:r>
    </w:p>
    <w:p>
      <w:pPr>
        <w:pStyle w:val="5"/>
        <w:widowControl/>
        <w:spacing w:line="480" w:lineRule="exact"/>
        <w:ind w:firstLine="552"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报告是根据《中华人民共和国政府信息公开条例》（国务院令第711号）规定和国务院办公厅政府信息与政务公开办公室《关于政府信息公开工作年度报告有关事项的通知》（国办公开办函〔2019〕60号）要求，由烟台市人民政府综合市本级、各县市政府2019年政府信息公开年度报告编制而成。报告共分总体情况、主动公开政府信息情况、收到和处理政府信息公开申请情况、政府信息公开行政复议、行政诉讼情况、存在主要问题及改进情况，其他需要报告的事项等六大版块。</w:t>
      </w:r>
    </w:p>
    <w:p>
      <w:pPr>
        <w:pStyle w:val="5"/>
        <w:widowControl/>
        <w:spacing w:line="480" w:lineRule="exact"/>
        <w:ind w:firstLine="552"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报告所列数据统计期限自2019年1月1日起至2019年12月31日止。</w:t>
      </w:r>
    </w:p>
    <w:p>
      <w:pPr>
        <w:pStyle w:val="5"/>
        <w:widowControl/>
        <w:spacing w:line="480" w:lineRule="exact"/>
        <w:ind w:firstLine="552"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报告电子版可在烟台市人民政府门户网站（www.yantai.gov.cn）下载。</w:t>
      </w:r>
    </w:p>
    <w:p>
      <w:pPr>
        <w:pStyle w:val="5"/>
        <w:widowControl/>
        <w:wordWrap w:val="0"/>
        <w:spacing w:line="480" w:lineRule="exact"/>
        <w:ind w:firstLine="552"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如对报告有任何疑问，请与烟台市政务公开办公室联系（电话：0535-6788157；电子邮箱：ytzwgk@yt.shandong.cn）。</w:t>
      </w:r>
    </w:p>
    <w:p>
      <w:pPr>
        <w:pStyle w:val="5"/>
        <w:spacing w:line="560" w:lineRule="exact"/>
        <w:ind w:firstLine="632" w:firstLineChars="200"/>
        <w:jc w:val="both"/>
        <w:rPr>
          <w:rFonts w:ascii="仿宋_GB2312" w:hAnsi="仿宋_GB2312" w:cs="仿宋_GB2312"/>
          <w:color w:val="000000"/>
          <w:sz w:val="32"/>
          <w:szCs w:val="32"/>
        </w:rPr>
      </w:pPr>
      <w:r>
        <w:rPr>
          <w:rFonts w:hint="eastAsia" w:ascii="黑体" w:hAnsi="黑体" w:eastAsia="黑体" w:cs="黑体"/>
          <w:bCs/>
          <w:color w:val="000000"/>
          <w:sz w:val="32"/>
          <w:szCs w:val="32"/>
        </w:rPr>
        <w:t>一、总体情况</w:t>
      </w:r>
    </w:p>
    <w:p>
      <w:pPr>
        <w:spacing w:line="560" w:lineRule="exact"/>
        <w:ind w:firstLine="640"/>
        <w:rPr>
          <w:rFonts w:ascii="仿宋_GB2312" w:hAnsi="仿宋_GB2312" w:cs="仿宋_GB2312"/>
          <w:color w:val="000000"/>
          <w:szCs w:val="32"/>
        </w:rPr>
      </w:pPr>
      <w:r>
        <w:rPr>
          <w:rFonts w:hint="eastAsia" w:ascii="仿宋_GB2312" w:hAnsi="仿宋_GB2312" w:cs="仿宋_GB2312"/>
          <w:szCs w:val="32"/>
          <w:shd w:val="clear" w:color="auto" w:fill="FFFFFF"/>
          <w:lang w:val="en-US" w:eastAsia="zh-CN"/>
        </w:rPr>
        <w:t>2019年，</w:t>
      </w:r>
      <w:r>
        <w:rPr>
          <w:rFonts w:hint="eastAsia" w:ascii="仿宋_GB2312" w:hAnsi="仿宋_GB2312" w:cs="仿宋_GB2312"/>
          <w:szCs w:val="32"/>
          <w:shd w:val="clear" w:color="auto" w:fill="FFFFFF"/>
        </w:rPr>
        <w:t>烟台市人民政府坚持</w:t>
      </w:r>
      <w:r>
        <w:rPr>
          <w:rFonts w:hint="eastAsia" w:ascii="仿宋_GB2312" w:hAnsi="仿宋_GB2312" w:cs="仿宋_GB2312"/>
          <w:szCs w:val="32"/>
        </w:rPr>
        <w:t>以习近平新时代中国特色社会主义思想为指导，</w:t>
      </w:r>
      <w:r>
        <w:rPr>
          <w:rFonts w:hint="eastAsia" w:ascii="仿宋_GB2312" w:hAnsi="仿宋_GB2312" w:cs="仿宋_GB2312"/>
          <w:szCs w:val="32"/>
          <w:shd w:val="clear" w:color="auto" w:fill="FFFFFF"/>
        </w:rPr>
        <w:t>全面贯彻党的十九大和十九届二中、三中、四中全会精神，按照党中央、国务院关于全面推进政务公开工作的部署，认真贯彻落实新修订的《中华人民共和国政府信息公开条例》</w:t>
      </w:r>
      <w:r>
        <w:rPr>
          <w:rFonts w:hint="eastAsia" w:ascii="仿宋_GB2312" w:hAnsi="仿宋_GB2312" w:cs="仿宋_GB2312"/>
          <w:szCs w:val="32"/>
          <w:shd w:val="clear" w:color="auto" w:fill="FFFFFF"/>
          <w:lang w:eastAsia="zh-CN"/>
        </w:rPr>
        <w:t>（以下简称新《条例》）</w:t>
      </w:r>
      <w:r>
        <w:rPr>
          <w:rFonts w:hint="eastAsia" w:ascii="仿宋_GB2312" w:hAnsi="仿宋_GB2312" w:cs="仿宋_GB2312"/>
          <w:szCs w:val="32"/>
          <w:shd w:val="clear" w:color="auto" w:fill="FFFFFF"/>
        </w:rPr>
        <w:t>，</w:t>
      </w:r>
      <w:r>
        <w:rPr>
          <w:rFonts w:hint="eastAsia" w:ascii="仿宋_GB2312" w:hAnsi="仿宋_GB2312" w:cs="仿宋_GB2312"/>
          <w:color w:val="000000"/>
          <w:szCs w:val="32"/>
        </w:rPr>
        <w:t>围绕市委市政府中心工作和社会关切，坚持</w:t>
      </w:r>
      <w:r>
        <w:rPr>
          <w:rFonts w:hint="eastAsia" w:ascii="仿宋_GB2312" w:hAnsi="仿宋_GB2312" w:cs="仿宋_GB2312"/>
          <w:color w:val="000000"/>
          <w:szCs w:val="32"/>
          <w:lang w:eastAsia="zh-CN"/>
        </w:rPr>
        <w:t>“</w:t>
      </w:r>
      <w:r>
        <w:rPr>
          <w:rFonts w:hint="eastAsia" w:ascii="仿宋_GB2312" w:hAnsi="仿宋_GB2312" w:cs="仿宋_GB2312"/>
          <w:color w:val="000000"/>
          <w:szCs w:val="32"/>
        </w:rPr>
        <w:t>公开为常态、不公开为例外</w:t>
      </w:r>
      <w:r>
        <w:rPr>
          <w:rFonts w:hint="eastAsia" w:ascii="仿宋_GB2312" w:hAnsi="仿宋_GB2312" w:cs="仿宋_GB2312"/>
          <w:color w:val="000000"/>
          <w:szCs w:val="32"/>
          <w:lang w:eastAsia="zh-CN"/>
        </w:rPr>
        <w:t>”的原则</w:t>
      </w:r>
      <w:r>
        <w:rPr>
          <w:rFonts w:hint="eastAsia" w:ascii="仿宋_GB2312" w:hAnsi="仿宋_GB2312" w:cs="仿宋_GB2312"/>
          <w:color w:val="000000"/>
          <w:szCs w:val="32"/>
        </w:rPr>
        <w:t>，强化配套制度建设和实施，持续深化公开内容，不断拓展公开载体，加大宣传培训力度，努力</w:t>
      </w:r>
      <w:r>
        <w:rPr>
          <w:rFonts w:hint="eastAsia" w:ascii="仿宋_GB2312" w:hAnsi="仿宋_GB2312" w:cs="仿宋_GB2312"/>
          <w:szCs w:val="32"/>
          <w:shd w:val="clear" w:color="auto" w:fill="FFFFFF"/>
        </w:rPr>
        <w:t>推进政务公开工作取得实效</w:t>
      </w:r>
      <w:r>
        <w:rPr>
          <w:rFonts w:hint="eastAsia" w:ascii="仿宋_GB2312" w:hAnsi="仿宋_GB2312" w:cs="仿宋_GB2312"/>
          <w:color w:val="000000"/>
          <w:szCs w:val="32"/>
        </w:rPr>
        <w:t>。</w:t>
      </w:r>
    </w:p>
    <w:p>
      <w:pPr>
        <w:spacing w:line="560" w:lineRule="exact"/>
        <w:ind w:firstLine="640"/>
        <w:rPr>
          <w:rFonts w:hint="eastAsia" w:ascii="仿宋_GB2312" w:hAnsi="仿宋_GB2312" w:cs="仿宋_GB2312"/>
          <w:szCs w:val="32"/>
          <w:shd w:val="clear" w:color="auto" w:fill="FFFFFF"/>
          <w:lang w:eastAsia="zh-CN"/>
        </w:rPr>
      </w:pPr>
      <w:r>
        <w:rPr>
          <w:rFonts w:hint="eastAsia" w:ascii="仿宋_GB2312" w:hAnsi="仿宋_GB2312" w:cs="仿宋_GB2312"/>
          <w:szCs w:val="32"/>
          <w:shd w:val="clear" w:color="auto" w:fill="FFFFFF"/>
          <w:lang w:eastAsia="zh-CN"/>
        </w:rPr>
        <w:drawing>
          <wp:anchor distT="0" distB="0" distL="114300" distR="114300" simplePos="0" relativeHeight="251735040" behindDoc="0" locked="0" layoutInCell="1" allowOverlap="1">
            <wp:simplePos x="0" y="0"/>
            <wp:positionH relativeFrom="column">
              <wp:posOffset>1768475</wp:posOffset>
            </wp:positionH>
            <wp:positionV relativeFrom="paragraph">
              <wp:posOffset>2021205</wp:posOffset>
            </wp:positionV>
            <wp:extent cx="3836035" cy="2557145"/>
            <wp:effectExtent l="0" t="0" r="12065" b="14605"/>
            <wp:wrapSquare wrapText="bothSides"/>
            <wp:docPr id="8" name="图片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
                    <pic:cNvPicPr>
                      <a:picLocks noChangeAspect="1"/>
                    </pic:cNvPicPr>
                  </pic:nvPicPr>
                  <pic:blipFill>
                    <a:blip r:embed="rId11"/>
                    <a:stretch>
                      <a:fillRect/>
                    </a:stretch>
                  </pic:blipFill>
                  <pic:spPr>
                    <a:xfrm>
                      <a:off x="0" y="0"/>
                      <a:ext cx="3836035" cy="2557145"/>
                    </a:xfrm>
                    <a:prstGeom prst="rect">
                      <a:avLst/>
                    </a:prstGeom>
                  </pic:spPr>
                </pic:pic>
              </a:graphicData>
            </a:graphic>
          </wp:anchor>
        </w:drawing>
      </w:r>
      <w:r>
        <w:rPr>
          <w:rFonts w:hint="eastAsia" w:ascii="楷体_GB2312" w:hAnsi="楷体_GB2312" w:eastAsia="楷体_GB2312" w:cs="楷体_GB2312"/>
          <w:szCs w:val="32"/>
          <w:shd w:val="clear" w:color="auto" w:fill="FFFFFF"/>
        </w:rPr>
        <w:t>（一）</w:t>
      </w:r>
      <w:r>
        <w:rPr>
          <w:rFonts w:hint="eastAsia" w:ascii="楷体_GB2312" w:hAnsi="楷体_GB2312" w:eastAsia="楷体_GB2312" w:cs="楷体_GB2312"/>
          <w:szCs w:val="32"/>
          <w:shd w:val="clear" w:color="auto" w:fill="FFFFFF"/>
          <w:lang w:eastAsia="zh-CN"/>
        </w:rPr>
        <w:t>深入开展</w:t>
      </w:r>
      <w:r>
        <w:rPr>
          <w:rFonts w:hint="eastAsia" w:ascii="楷体_GB2312" w:hAnsi="楷体_GB2312" w:eastAsia="楷体_GB2312" w:cs="楷体_GB2312"/>
          <w:szCs w:val="32"/>
          <w:shd w:val="clear" w:color="auto" w:fill="FFFFFF"/>
        </w:rPr>
        <w:t>新《条例》宣传培训。</w:t>
      </w:r>
      <w:r>
        <w:rPr>
          <w:rFonts w:hint="eastAsia" w:ascii="仿宋_GB2312" w:hAnsi="仿宋_GB2312" w:cs="仿宋_GB2312"/>
          <w:szCs w:val="32"/>
          <w:shd w:val="clear" w:color="auto" w:fill="FFFFFF"/>
          <w:lang w:eastAsia="zh-CN"/>
        </w:rPr>
        <w:t>新</w:t>
      </w:r>
      <w:r>
        <w:rPr>
          <w:rFonts w:hint="eastAsia" w:ascii="仿宋_GB2312" w:hAnsi="仿宋_GB2312" w:cs="仿宋_GB2312"/>
          <w:szCs w:val="32"/>
          <w:shd w:val="clear" w:color="auto" w:fill="FFFFFF"/>
        </w:rPr>
        <w:t>《条例》颁布施行后，</w:t>
      </w:r>
      <w:r>
        <w:rPr>
          <w:rFonts w:hint="eastAsia" w:ascii="仿宋_GB2312" w:hAnsi="仿宋_GB2312" w:cs="仿宋_GB2312"/>
          <w:szCs w:val="32"/>
          <w:shd w:val="clear" w:color="auto" w:fill="FFFFFF"/>
          <w:lang w:eastAsia="zh-CN"/>
        </w:rPr>
        <w:t>烟台</w:t>
      </w:r>
      <w:r>
        <w:rPr>
          <w:rFonts w:hint="eastAsia" w:ascii="仿宋_GB2312" w:hAnsi="仿宋_GB2312" w:cs="仿宋_GB2312"/>
          <w:bCs/>
          <w:sz w:val="32"/>
          <w:szCs w:val="32"/>
          <w:lang w:eastAsia="zh-CN"/>
        </w:rPr>
        <w:t>市召开专题会议</w:t>
      </w:r>
      <w:r>
        <w:rPr>
          <w:rFonts w:hint="eastAsia" w:ascii="仿宋_GB2312" w:hAnsi="仿宋_GB2312" w:cs="仿宋_GB2312"/>
          <w:szCs w:val="32"/>
          <w:shd w:val="clear" w:color="auto" w:fill="FFFFFF"/>
        </w:rPr>
        <w:t>对</w:t>
      </w:r>
      <w:r>
        <w:rPr>
          <w:rFonts w:hint="eastAsia" w:ascii="仿宋_GB2312" w:hAnsi="仿宋_GB2312" w:cs="仿宋_GB2312"/>
          <w:szCs w:val="32"/>
          <w:shd w:val="clear" w:color="auto" w:fill="FFFFFF"/>
          <w:lang w:eastAsia="zh-CN"/>
        </w:rPr>
        <w:t>新《条例》</w:t>
      </w:r>
      <w:r>
        <w:rPr>
          <w:rFonts w:hint="eastAsia" w:ascii="仿宋_GB2312" w:hAnsi="仿宋_GB2312" w:cs="仿宋_GB2312"/>
          <w:szCs w:val="32"/>
          <w:shd w:val="clear" w:color="auto" w:fill="FFFFFF"/>
        </w:rPr>
        <w:t>宣传贯彻工作</w:t>
      </w:r>
      <w:r>
        <w:rPr>
          <w:rFonts w:hint="eastAsia" w:ascii="仿宋_GB2312" w:hAnsi="仿宋_GB2312" w:cs="仿宋_GB2312"/>
          <w:szCs w:val="32"/>
          <w:shd w:val="clear" w:color="auto" w:fill="FFFFFF"/>
          <w:lang w:eastAsia="zh-CN"/>
        </w:rPr>
        <w:t>作出了安排</w:t>
      </w:r>
      <w:r>
        <w:rPr>
          <w:rFonts w:hint="eastAsia" w:ascii="仿宋_GB2312" w:hAnsi="仿宋_GB2312" w:cs="仿宋_GB2312"/>
          <w:szCs w:val="32"/>
          <w:shd w:val="clear" w:color="auto" w:fill="FFFFFF"/>
        </w:rPr>
        <w:t>部署</w:t>
      </w:r>
      <w:r>
        <w:rPr>
          <w:rFonts w:hint="eastAsia" w:ascii="仿宋_GB2312" w:hAnsi="仿宋_GB2312" w:cs="仿宋_GB2312"/>
          <w:szCs w:val="32"/>
          <w:shd w:val="clear" w:color="auto" w:fill="FFFFFF"/>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pacing w:val="-4"/>
          <w:sz w:val="32"/>
          <w:szCs w:val="32"/>
        </w:rPr>
        <w:t>政府常务会议</w:t>
      </w:r>
      <w:r>
        <w:rPr>
          <w:rFonts w:hint="eastAsia" w:ascii="仿宋_GB2312" w:hAnsi="仿宋_GB2312" w:cs="仿宋_GB2312"/>
          <w:spacing w:val="-4"/>
          <w:sz w:val="32"/>
          <w:szCs w:val="32"/>
          <w:lang w:eastAsia="zh-CN"/>
        </w:rPr>
        <w:t>对新《条例》内容进行了专题</w:t>
      </w:r>
      <w:r>
        <w:rPr>
          <w:rFonts w:hint="eastAsia" w:ascii="仿宋_GB2312" w:hAnsi="仿宋_GB2312" w:eastAsia="仿宋_GB2312" w:cs="仿宋_GB2312"/>
          <w:spacing w:val="-4"/>
          <w:sz w:val="32"/>
          <w:szCs w:val="32"/>
        </w:rPr>
        <w:t>学习</w:t>
      </w:r>
      <w:r>
        <w:rPr>
          <w:rFonts w:hint="eastAsia" w:ascii="仿宋_GB2312" w:hAnsi="仿宋_GB2312" w:cs="仿宋_GB2312"/>
          <w:spacing w:val="-4"/>
          <w:sz w:val="32"/>
          <w:szCs w:val="32"/>
          <w:lang w:eastAsia="zh-CN"/>
        </w:rPr>
        <w:t>，市</w:t>
      </w:r>
      <w:r>
        <w:rPr>
          <w:rFonts w:hint="eastAsia" w:ascii="仿宋_GB2312" w:hAnsi="仿宋_GB2312" w:cs="仿宋_GB2312"/>
          <w:szCs w:val="32"/>
          <w:shd w:val="clear" w:color="auto" w:fill="FFFFFF"/>
          <w:lang w:eastAsia="zh-CN"/>
        </w:rPr>
        <w:t>政府门户网站对新《条例》进行了全文转载并对比解读，全市各级各部门</w:t>
      </w:r>
      <w:r>
        <w:rPr>
          <w:rFonts w:hint="eastAsia" w:ascii="仿宋_GB2312" w:hAnsi="仿宋_GB2312" w:eastAsia="仿宋_GB2312" w:cs="仿宋_GB2312"/>
          <w:bCs/>
          <w:sz w:val="32"/>
          <w:szCs w:val="32"/>
        </w:rPr>
        <w:t>依托全国法制宣传日</w:t>
      </w:r>
      <w:r>
        <w:rPr>
          <w:rFonts w:hint="eastAsia" w:ascii="仿宋_GB2312" w:hAnsi="仿宋_GB2312" w:cs="仿宋_GB2312"/>
          <w:bCs/>
          <w:sz w:val="32"/>
          <w:szCs w:val="32"/>
          <w:lang w:eastAsia="zh-CN"/>
        </w:rPr>
        <w:t>，累计</w:t>
      </w:r>
      <w:r>
        <w:rPr>
          <w:rFonts w:hint="eastAsia" w:ascii="仿宋_GB2312" w:hAnsi="仿宋_GB2312" w:cs="仿宋_GB2312"/>
          <w:szCs w:val="32"/>
          <w:shd w:val="clear" w:color="auto" w:fill="FFFFFF"/>
        </w:rPr>
        <w:t>开展</w:t>
      </w:r>
      <w:r>
        <w:rPr>
          <w:rFonts w:hint="eastAsia" w:ascii="仿宋_GB2312" w:hAnsi="仿宋_GB2312" w:cs="仿宋_GB2312"/>
          <w:szCs w:val="32"/>
          <w:shd w:val="clear" w:color="auto" w:fill="FFFFFF"/>
          <w:lang w:eastAsia="zh-CN"/>
        </w:rPr>
        <w:t>了</w:t>
      </w:r>
      <w:r>
        <w:rPr>
          <w:rFonts w:hint="eastAsia" w:ascii="仿宋_GB2312" w:hAnsi="仿宋_GB2312" w:cs="仿宋_GB2312"/>
          <w:szCs w:val="32"/>
          <w:shd w:val="clear" w:color="auto" w:fill="FFFFFF"/>
          <w:lang w:val="en-US" w:eastAsia="zh-CN"/>
        </w:rPr>
        <w:t>40余次</w:t>
      </w:r>
      <w:r>
        <w:rPr>
          <w:rFonts w:hint="eastAsia" w:ascii="仿宋_GB2312" w:hAnsi="仿宋_GB2312" w:cs="仿宋_GB2312"/>
          <w:szCs w:val="32"/>
          <w:shd w:val="clear" w:color="auto" w:fill="FFFFFF"/>
        </w:rPr>
        <w:t>多形式多渠道的宣传解读和普法活动</w:t>
      </w:r>
      <w:r>
        <w:rPr>
          <w:rFonts w:hint="eastAsia" w:ascii="仿宋_GB2312" w:hAnsi="仿宋_GB2312" w:cs="仿宋_GB2312"/>
          <w:szCs w:val="32"/>
          <w:shd w:val="clear" w:color="auto" w:fill="FFFFFF"/>
          <w:lang w:eastAsia="zh-CN"/>
        </w:rPr>
        <w:t>，</w:t>
      </w:r>
      <w:r>
        <w:rPr>
          <w:rFonts w:hint="eastAsia" w:ascii="仿宋_GB2312" w:hAnsi="仿宋_GB2312" w:cs="仿宋_GB2312"/>
          <w:bCs/>
          <w:sz w:val="32"/>
          <w:szCs w:val="32"/>
          <w:lang w:eastAsia="zh-CN"/>
        </w:rPr>
        <w:t>印发宣传手册</w:t>
      </w:r>
      <w:r>
        <w:rPr>
          <w:rFonts w:hint="eastAsia" w:ascii="仿宋_GB2312" w:hAnsi="仿宋_GB2312" w:cs="仿宋_GB2312"/>
          <w:bCs/>
          <w:sz w:val="32"/>
          <w:szCs w:val="32"/>
          <w:lang w:val="en-US" w:eastAsia="zh-CN"/>
        </w:rPr>
        <w:t>4000余份，在“政务公开看烟台”专栏及时</w:t>
      </w:r>
      <w:r>
        <w:rPr>
          <w:rFonts w:hint="eastAsia" w:ascii="仿宋_GB2312" w:hAnsi="仿宋_GB2312" w:cs="仿宋_GB2312"/>
          <w:szCs w:val="32"/>
          <w:shd w:val="clear" w:color="auto" w:fill="FFFFFF"/>
          <w:lang w:eastAsia="zh-CN"/>
        </w:rPr>
        <w:t>发布政务公开宣传活动开展情况。</w:t>
      </w:r>
      <w:r>
        <w:rPr>
          <w:rFonts w:hint="eastAsia" w:ascii="仿宋_GB2312" w:hAnsi="仿宋_GB2312" w:cs="仿宋_GB2312"/>
          <w:szCs w:val="32"/>
          <w:shd w:val="clear" w:color="auto" w:fill="FFFFFF"/>
        </w:rPr>
        <w:t>举办</w:t>
      </w:r>
      <w:r>
        <w:rPr>
          <w:rFonts w:hint="eastAsia" w:ascii="仿宋_GB2312" w:hAnsi="仿宋_GB2312" w:cs="仿宋_GB2312"/>
          <w:szCs w:val="32"/>
          <w:shd w:val="clear" w:color="auto" w:fill="FFFFFF"/>
          <w:lang w:eastAsia="zh-CN"/>
        </w:rPr>
        <w:t>了全市</w:t>
      </w:r>
      <w:r>
        <w:rPr>
          <w:rFonts w:hint="eastAsia" w:ascii="仿宋_GB2312" w:hAnsi="仿宋_GB2312" w:cs="仿宋_GB2312"/>
          <w:szCs w:val="32"/>
          <w:shd w:val="clear" w:color="auto" w:fill="FFFFFF"/>
        </w:rPr>
        <w:t>政府信息公开专题</w:t>
      </w:r>
      <w:r>
        <w:rPr>
          <w:rFonts w:hint="eastAsia" w:ascii="仿宋_GB2312" w:hAnsi="仿宋_GB2312" w:cs="仿宋_GB2312"/>
          <w:szCs w:val="32"/>
          <w:shd w:val="clear" w:color="auto" w:fill="FFFFFF"/>
          <w:lang w:eastAsia="zh-CN"/>
        </w:rPr>
        <w:t>辅导会议</w:t>
      </w:r>
      <w:r>
        <w:rPr>
          <w:rFonts w:hint="eastAsia" w:ascii="仿宋_GB2312" w:hAnsi="仿宋_GB2312" w:cs="仿宋_GB2312"/>
          <w:szCs w:val="32"/>
          <w:shd w:val="clear" w:color="auto" w:fill="FFFFFF"/>
        </w:rPr>
        <w:t>，市政府法律顾问结合国内政务公开典型案例，从</w:t>
      </w:r>
      <w:r>
        <w:rPr>
          <w:rFonts w:hint="eastAsia" w:ascii="仿宋_GB2312" w:hAnsi="仿宋_GB2312" w:cs="仿宋_GB2312"/>
          <w:szCs w:val="32"/>
          <w:shd w:val="clear" w:color="auto" w:fill="FFFFFF"/>
          <w:lang w:eastAsia="zh-CN"/>
        </w:rPr>
        <w:t>新</w:t>
      </w:r>
      <w:r>
        <w:rPr>
          <w:rFonts w:hint="eastAsia" w:ascii="仿宋_GB2312" w:hAnsi="仿宋_GB2312" w:cs="仿宋_GB2312"/>
          <w:szCs w:val="32"/>
          <w:shd w:val="clear" w:color="auto" w:fill="FFFFFF"/>
        </w:rPr>
        <w:t>《条例》的修订及由此在实务中</w:t>
      </w:r>
      <w:r>
        <w:rPr>
          <w:rFonts w:hint="eastAsia" w:ascii="仿宋_GB2312" w:hAnsi="仿宋_GB2312" w:cs="仿宋_GB2312"/>
          <w:szCs w:val="32"/>
          <w:shd w:val="clear" w:color="auto" w:fill="FFFFFF"/>
          <w:lang w:eastAsia="zh-CN"/>
        </w:rPr>
        <w:t>的应用</w:t>
      </w:r>
      <w:r>
        <w:rPr>
          <w:rFonts w:hint="eastAsia" w:ascii="仿宋_GB2312" w:hAnsi="仿宋_GB2312" w:cs="仿宋_GB2312"/>
          <w:szCs w:val="32"/>
          <w:shd w:val="clear" w:color="auto" w:fill="FFFFFF"/>
        </w:rPr>
        <w:t>，依申请公开答复件</w:t>
      </w:r>
      <w:r>
        <w:rPr>
          <w:rFonts w:hint="eastAsia" w:ascii="仿宋_GB2312" w:hAnsi="仿宋_GB2312" w:cs="仿宋_GB2312"/>
          <w:szCs w:val="32"/>
          <w:shd w:val="clear" w:color="auto" w:fill="FFFFFF"/>
          <w:lang w:eastAsia="zh-CN"/>
        </w:rPr>
        <w:t>的</w:t>
      </w:r>
      <w:r>
        <w:rPr>
          <w:rFonts w:hint="eastAsia" w:ascii="仿宋_GB2312" w:hAnsi="仿宋_GB2312" w:cs="仿宋_GB2312"/>
          <w:szCs w:val="32"/>
          <w:shd w:val="clear" w:color="auto" w:fill="FFFFFF"/>
        </w:rPr>
        <w:t>合法性审查、化解和规避败诉风险等方面进行了授课</w:t>
      </w:r>
      <w:r>
        <w:rPr>
          <w:rFonts w:hint="eastAsia" w:ascii="仿宋_GB2312" w:hAnsi="仿宋_GB2312" w:cs="仿宋_GB2312"/>
          <w:szCs w:val="32"/>
          <w:shd w:val="clear" w:color="auto" w:fill="FFFFFF"/>
          <w:lang w:eastAsia="zh-CN"/>
        </w:rPr>
        <w:t>。</w:t>
      </w:r>
    </w:p>
    <w:p>
      <w:pPr>
        <w:spacing w:line="560" w:lineRule="exact"/>
        <w:ind w:firstLine="640"/>
        <w:rPr>
          <w:rFonts w:hint="eastAsia" w:ascii="仿宋_GB2312" w:hAnsi="仿宋_GB2312" w:cs="仿宋_GB2312"/>
          <w:szCs w:val="32"/>
          <w:shd w:val="clear" w:color="auto" w:fill="FFFFFF"/>
        </w:rPr>
      </w:pPr>
      <w:r>
        <w:rPr>
          <w:rFonts w:hint="eastAsia" w:ascii="仿宋_GB2312" w:hAnsi="仿宋_GB2312" w:cs="仿宋_GB2312"/>
          <w:szCs w:val="32"/>
          <w:shd w:val="clear" w:color="auto" w:fill="FFFFFF"/>
          <w:lang w:eastAsia="zh-CN"/>
        </w:rPr>
        <w:drawing>
          <wp:anchor distT="0" distB="0" distL="114300" distR="114300" simplePos="0" relativeHeight="251736064" behindDoc="0" locked="0" layoutInCell="1" allowOverlap="1">
            <wp:simplePos x="0" y="0"/>
            <wp:positionH relativeFrom="column">
              <wp:posOffset>10160</wp:posOffset>
            </wp:positionH>
            <wp:positionV relativeFrom="paragraph">
              <wp:posOffset>3373120</wp:posOffset>
            </wp:positionV>
            <wp:extent cx="4384040" cy="3423920"/>
            <wp:effectExtent l="0" t="0" r="16510" b="5080"/>
            <wp:wrapSquare wrapText="bothSides"/>
            <wp:docPr id="9" name="图片 9" descr="微信截图_2020070110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截图_20200701103718"/>
                    <pic:cNvPicPr>
                      <a:picLocks noChangeAspect="1"/>
                    </pic:cNvPicPr>
                  </pic:nvPicPr>
                  <pic:blipFill>
                    <a:blip r:embed="rId12"/>
                    <a:stretch>
                      <a:fillRect/>
                    </a:stretch>
                  </pic:blipFill>
                  <pic:spPr>
                    <a:xfrm>
                      <a:off x="0" y="0"/>
                      <a:ext cx="4384040" cy="3423920"/>
                    </a:xfrm>
                    <a:prstGeom prst="rect">
                      <a:avLst/>
                    </a:prstGeom>
                  </pic:spPr>
                </pic:pic>
              </a:graphicData>
            </a:graphic>
          </wp:anchor>
        </w:drawing>
      </w:r>
      <w:r>
        <w:rPr>
          <w:rFonts w:hint="eastAsia" w:ascii="楷体_GB2312" w:hAnsi="楷体_GB2312" w:eastAsia="楷体_GB2312" w:cs="楷体_GB2312"/>
          <w:szCs w:val="32"/>
          <w:shd w:val="clear" w:color="auto" w:fill="FFFFFF"/>
        </w:rPr>
        <w:t>（二）严格执行法定主动公开要求。</w:t>
      </w:r>
      <w:r>
        <w:rPr>
          <w:rFonts w:hint="eastAsia" w:ascii="仿宋_GB2312" w:hAnsi="仿宋_GB2312" w:cs="仿宋_GB2312"/>
          <w:szCs w:val="32"/>
          <w:shd w:val="clear" w:color="auto" w:fill="FFFFFF"/>
        </w:rPr>
        <w:t>依照新《条例》第二十条规定，</w:t>
      </w:r>
      <w:r>
        <w:rPr>
          <w:rFonts w:hint="eastAsia" w:ascii="仿宋_GB2312" w:hAnsi="仿宋_GB2312" w:cs="仿宋_GB2312"/>
          <w:szCs w:val="32"/>
          <w:shd w:val="clear" w:color="auto" w:fill="FFFFFF"/>
          <w:lang w:eastAsia="zh-CN"/>
        </w:rPr>
        <w:t>市政府各部门</w:t>
      </w:r>
      <w:r>
        <w:rPr>
          <w:rFonts w:hint="eastAsia" w:ascii="仿宋_GB2312" w:hAnsi="仿宋_GB2312" w:cs="仿宋_GB2312"/>
          <w:szCs w:val="32"/>
          <w:shd w:val="clear" w:color="auto" w:fill="FFFFFF"/>
        </w:rPr>
        <w:t>累计通过</w:t>
      </w:r>
      <w:r>
        <w:rPr>
          <w:rFonts w:hint="eastAsia" w:ascii="仿宋_GB2312" w:hAnsi="仿宋_GB2312" w:cs="仿宋_GB2312"/>
          <w:szCs w:val="32"/>
          <w:shd w:val="clear" w:color="auto" w:fill="FFFFFF"/>
          <w:lang w:eastAsia="zh-CN"/>
        </w:rPr>
        <w:t>烟台市</w:t>
      </w:r>
      <w:r>
        <w:rPr>
          <w:rFonts w:hint="eastAsia" w:ascii="仿宋_GB2312" w:hAnsi="仿宋_GB2312" w:cs="仿宋_GB2312"/>
          <w:szCs w:val="32"/>
          <w:shd w:val="clear" w:color="auto" w:fill="FFFFFF"/>
        </w:rPr>
        <w:t>政府门户网站公开政府信息11000余条</w:t>
      </w:r>
      <w:r>
        <w:rPr>
          <w:rFonts w:hint="eastAsia" w:ascii="仿宋_GB2312" w:hAnsi="仿宋_GB2312" w:cs="仿宋_GB2312"/>
          <w:szCs w:val="32"/>
          <w:shd w:val="clear" w:color="auto" w:fill="FFFFFF"/>
          <w:lang w:eastAsia="zh-CN"/>
        </w:rPr>
        <w:t>。</w:t>
      </w:r>
      <w:r>
        <w:rPr>
          <w:rFonts w:hint="eastAsia" w:ascii="仿宋_GB2312" w:hAnsi="仿宋_GB2312" w:cs="仿宋_GB2312"/>
          <w:szCs w:val="32"/>
          <w:shd w:val="clear" w:color="auto" w:fill="FFFFFF"/>
        </w:rPr>
        <w:t>其中，</w:t>
      </w:r>
      <w:r>
        <w:rPr>
          <w:rFonts w:hint="eastAsia" w:ascii="仿宋_GB2312" w:hAnsi="仿宋_GB2312" w:cs="仿宋_GB2312"/>
          <w:szCs w:val="32"/>
          <w:shd w:val="clear" w:color="auto" w:fill="FFFFFF"/>
          <w:lang w:eastAsia="zh-CN"/>
        </w:rPr>
        <w:t>发布地方性法规</w:t>
      </w:r>
      <w:r>
        <w:rPr>
          <w:rFonts w:hint="eastAsia" w:ascii="仿宋_GB2312" w:hAnsi="仿宋_GB2312" w:cs="仿宋_GB2312"/>
          <w:szCs w:val="32"/>
          <w:shd w:val="clear" w:color="auto" w:fill="FFFFFF"/>
          <w:lang w:val="en-US" w:eastAsia="zh-CN"/>
        </w:rPr>
        <w:t>1部，规章2个，</w:t>
      </w:r>
      <w:r>
        <w:rPr>
          <w:rFonts w:hint="eastAsia" w:ascii="仿宋_GB2312" w:hAnsi="仿宋_GB2312" w:cs="仿宋_GB2312"/>
          <w:szCs w:val="32"/>
          <w:shd w:val="clear" w:color="auto" w:fill="FFFFFF"/>
        </w:rPr>
        <w:t>规范性文件19</w:t>
      </w:r>
      <w:r>
        <w:rPr>
          <w:rFonts w:hint="eastAsia" w:ascii="仿宋_GB2312" w:hAnsi="仿宋_GB2312" w:cs="仿宋_GB2312"/>
          <w:szCs w:val="32"/>
          <w:shd w:val="clear" w:color="auto" w:fill="FFFFFF"/>
          <w:lang w:eastAsia="zh-CN"/>
        </w:rPr>
        <w:t>个；机构改革后，全市</w:t>
      </w:r>
      <w:r>
        <w:rPr>
          <w:rFonts w:hint="eastAsia" w:ascii="仿宋_GB2312" w:hAnsi="仿宋_GB2312" w:cs="仿宋_GB2312"/>
          <w:szCs w:val="32"/>
          <w:shd w:val="clear" w:color="auto" w:fill="FFFFFF"/>
          <w:lang w:val="en-US" w:eastAsia="zh-CN"/>
        </w:rPr>
        <w:t>36个市政府部门和有关单位及时更新了机构职能信息并实现了动态维护；公开了《烟台市2019年国民经济和社会发展计划》，各部门公开国民经济、社会发展规划、专项规划、区域规划及相关政策信息36个；</w:t>
      </w:r>
      <w:r>
        <w:rPr>
          <w:rFonts w:hint="eastAsia" w:ascii="仿宋_GB2312" w:hAnsi="仿宋_GB2312" w:cs="仿宋_GB2312"/>
          <w:szCs w:val="32"/>
          <w:shd w:val="clear" w:color="auto" w:fill="FFFFFF"/>
        </w:rPr>
        <w:t>公开2018年决算草案和2019年以来预算执行情况，</w:t>
      </w:r>
      <w:r>
        <w:rPr>
          <w:rFonts w:hint="eastAsia" w:ascii="仿宋_GB2312" w:hAnsi="仿宋_GB2312" w:cs="仿宋_GB2312"/>
          <w:szCs w:val="32"/>
          <w:shd w:val="clear" w:color="auto" w:fill="FFFFFF"/>
          <w:lang w:val="en-US" w:eastAsia="zh-CN"/>
        </w:rPr>
        <w:t>87个</w:t>
      </w:r>
      <w:r>
        <w:rPr>
          <w:rFonts w:hint="eastAsia" w:ascii="仿宋_GB2312" w:hAnsi="仿宋_GB2312" w:cs="仿宋_GB2312"/>
          <w:szCs w:val="32"/>
          <w:shd w:val="clear" w:color="auto" w:fill="FFFFFF"/>
          <w:lang w:eastAsia="zh-CN"/>
        </w:rPr>
        <w:t>部门和单位在政府门户网站公开了</w:t>
      </w:r>
      <w:r>
        <w:rPr>
          <w:rFonts w:hint="eastAsia" w:ascii="仿宋_GB2312" w:hAnsi="仿宋_GB2312" w:cs="仿宋_GB2312"/>
          <w:szCs w:val="32"/>
          <w:shd w:val="clear" w:color="auto" w:fill="FFFFFF"/>
        </w:rPr>
        <w:t>部门</w:t>
      </w:r>
      <w:r>
        <w:rPr>
          <w:rFonts w:hint="eastAsia" w:ascii="仿宋_GB2312" w:hAnsi="仿宋_GB2312" w:cs="仿宋_GB2312"/>
          <w:szCs w:val="32"/>
          <w:shd w:val="clear" w:color="auto" w:fill="FFFFFF"/>
          <w:lang w:val="en-US" w:eastAsia="zh-CN"/>
        </w:rPr>
        <w:t>年度</w:t>
      </w:r>
      <w:r>
        <w:rPr>
          <w:rFonts w:hint="eastAsia" w:ascii="仿宋_GB2312" w:hAnsi="仿宋_GB2312" w:cs="仿宋_GB2312"/>
          <w:szCs w:val="32"/>
          <w:shd w:val="clear" w:color="auto" w:fill="FFFFFF"/>
          <w:lang w:eastAsia="zh-CN"/>
        </w:rPr>
        <w:t>预</w:t>
      </w:r>
      <w:r>
        <w:rPr>
          <w:rFonts w:hint="eastAsia" w:ascii="仿宋_GB2312" w:hAnsi="仿宋_GB2312" w:cs="仿宋_GB2312"/>
          <w:szCs w:val="32"/>
          <w:shd w:val="clear" w:color="auto" w:fill="FFFFFF"/>
        </w:rPr>
        <w:t>决算</w:t>
      </w:r>
      <w:r>
        <w:rPr>
          <w:rFonts w:hint="eastAsia" w:ascii="仿宋_GB2312" w:hAnsi="仿宋_GB2312" w:cs="仿宋_GB2312"/>
          <w:szCs w:val="32"/>
          <w:shd w:val="clear" w:color="auto" w:fill="FFFFFF"/>
          <w:lang w:eastAsia="zh-CN"/>
        </w:rPr>
        <w:t>信息；行政事业性收费目录实现了动态调整，发布行政事业性收费项目</w:t>
      </w:r>
      <w:r>
        <w:rPr>
          <w:rFonts w:hint="eastAsia" w:ascii="仿宋_GB2312" w:hAnsi="仿宋_GB2312" w:cs="仿宋_GB2312"/>
          <w:szCs w:val="32"/>
          <w:shd w:val="clear" w:color="auto" w:fill="FFFFFF"/>
          <w:lang w:val="en-US" w:eastAsia="zh-CN"/>
        </w:rPr>
        <w:t>119个，比去年减少7个，</w:t>
      </w:r>
      <w:r>
        <w:rPr>
          <w:rFonts w:hint="eastAsia" w:ascii="仿宋_GB2312" w:hAnsi="仿宋_GB2312" w:cs="仿宋_GB2312"/>
          <w:szCs w:val="32"/>
          <w:shd w:val="clear" w:color="auto" w:fill="FFFFFF"/>
          <w:lang w:eastAsia="zh-CN"/>
        </w:rPr>
        <w:t>政策透明度进一步提高；公开</w:t>
      </w:r>
      <w:r>
        <w:rPr>
          <w:rFonts w:hint="eastAsia" w:ascii="仿宋_GB2312" w:hAnsi="仿宋_GB2312" w:cs="仿宋_GB2312"/>
          <w:szCs w:val="32"/>
          <w:shd w:val="clear" w:color="auto" w:fill="FFFFFF"/>
        </w:rPr>
        <w:t>本年度由</w:t>
      </w:r>
      <w:r>
        <w:rPr>
          <w:rFonts w:hint="eastAsia" w:ascii="仿宋_GB2312" w:hAnsi="仿宋_GB2312" w:cs="仿宋_GB2312"/>
          <w:szCs w:val="32"/>
          <w:shd w:val="clear" w:color="auto" w:fill="FFFFFF"/>
          <w:lang w:eastAsia="zh-CN"/>
        </w:rPr>
        <w:t>市</w:t>
      </w:r>
      <w:r>
        <w:rPr>
          <w:rFonts w:hint="eastAsia" w:ascii="仿宋_GB2312" w:hAnsi="仿宋_GB2312" w:cs="仿宋_GB2312"/>
          <w:szCs w:val="32"/>
          <w:shd w:val="clear" w:color="auto" w:fill="FFFFFF"/>
        </w:rPr>
        <w:t>政府决定的行政许可、行政处罚、行政强制以及行政裁决、行政确认等其他对外管理服务事项</w:t>
      </w:r>
      <w:r>
        <w:rPr>
          <w:rFonts w:hint="eastAsia" w:ascii="仿宋_GB2312" w:hAnsi="仿宋_GB2312" w:cs="仿宋_GB2312"/>
          <w:szCs w:val="32"/>
          <w:shd w:val="clear" w:color="auto" w:fill="FFFFFF"/>
          <w:lang w:val="en-US" w:eastAsia="zh-CN"/>
        </w:rPr>
        <w:t>6850</w:t>
      </w:r>
      <w:r>
        <w:rPr>
          <w:rFonts w:hint="eastAsia" w:ascii="仿宋_GB2312" w:hAnsi="仿宋_GB2312" w:cs="仿宋_GB2312"/>
          <w:szCs w:val="32"/>
          <w:shd w:val="clear" w:color="auto" w:fill="FFFFFF"/>
          <w:lang w:eastAsia="zh-CN"/>
        </w:rPr>
        <w:t>个</w:t>
      </w:r>
      <w:r>
        <w:rPr>
          <w:rFonts w:hint="eastAsia" w:ascii="仿宋_GB2312" w:hAnsi="仿宋_GB2312" w:cs="仿宋_GB2312"/>
          <w:szCs w:val="32"/>
          <w:shd w:val="clear" w:color="auto" w:fill="FFFFFF"/>
        </w:rPr>
        <w:t>，有关基本信息、办理流程、办理材料、办理条件、设定依据以及办理进度通过</w:t>
      </w:r>
      <w:r>
        <w:rPr>
          <w:rFonts w:hint="eastAsia" w:ascii="仿宋_GB2312" w:hAnsi="仿宋_GB2312" w:cs="仿宋_GB2312"/>
          <w:szCs w:val="32"/>
          <w:shd w:val="clear" w:color="auto" w:fill="FFFFFF"/>
          <w:lang w:eastAsia="zh-CN"/>
        </w:rPr>
        <w:t>“山东</w:t>
      </w:r>
      <w:r>
        <w:rPr>
          <w:rFonts w:hint="eastAsia" w:ascii="仿宋_GB2312" w:hAnsi="仿宋_GB2312" w:cs="仿宋_GB2312"/>
          <w:szCs w:val="32"/>
          <w:shd w:val="clear" w:color="auto" w:fill="FFFFFF"/>
        </w:rPr>
        <w:t>政务服务网·</w:t>
      </w:r>
      <w:r>
        <w:rPr>
          <w:rFonts w:hint="eastAsia" w:ascii="仿宋_GB2312" w:hAnsi="仿宋_GB2312" w:cs="仿宋_GB2312"/>
          <w:szCs w:val="32"/>
          <w:shd w:val="clear" w:color="auto" w:fill="FFFFFF"/>
          <w:lang w:eastAsia="zh-CN"/>
        </w:rPr>
        <w:t>烟台站”</w:t>
      </w:r>
      <w:r>
        <w:rPr>
          <w:rFonts w:hint="eastAsia" w:ascii="仿宋_GB2312" w:hAnsi="仿宋_GB2312" w:cs="仿宋_GB2312"/>
          <w:szCs w:val="32"/>
          <w:shd w:val="clear" w:color="auto" w:fill="FFFFFF"/>
        </w:rPr>
        <w:t>向社会</w:t>
      </w:r>
      <w:r>
        <w:rPr>
          <w:rFonts w:hint="eastAsia" w:ascii="仿宋_GB2312" w:hAnsi="仿宋_GB2312" w:cs="仿宋_GB2312"/>
          <w:szCs w:val="32"/>
          <w:shd w:val="clear" w:color="auto" w:fill="FFFFFF"/>
          <w:lang w:eastAsia="zh-CN"/>
        </w:rPr>
        <w:t>主动</w:t>
      </w:r>
      <w:r>
        <w:rPr>
          <w:rFonts w:hint="eastAsia" w:ascii="仿宋_GB2312" w:hAnsi="仿宋_GB2312" w:cs="仿宋_GB2312"/>
          <w:szCs w:val="32"/>
          <w:shd w:val="clear" w:color="auto" w:fill="FFFFFF"/>
        </w:rPr>
        <w:t>公开</w:t>
      </w:r>
      <w:r>
        <w:rPr>
          <w:rFonts w:hint="eastAsia" w:ascii="仿宋_GB2312" w:hAnsi="仿宋_GB2312" w:cs="仿宋_GB2312"/>
          <w:szCs w:val="32"/>
          <w:shd w:val="clear" w:color="auto" w:fill="FFFFFF"/>
          <w:lang w:eastAsia="zh-CN"/>
        </w:rPr>
        <w:t>；公开发布地质、气象、农业、林业等各类应急预案</w:t>
      </w:r>
      <w:r>
        <w:rPr>
          <w:rFonts w:hint="eastAsia" w:ascii="仿宋_GB2312" w:hAnsi="仿宋_GB2312" w:cs="仿宋_GB2312"/>
          <w:szCs w:val="32"/>
          <w:shd w:val="clear" w:color="auto" w:fill="FFFFFF"/>
          <w:lang w:val="en-US" w:eastAsia="zh-CN"/>
        </w:rPr>
        <w:t>20余个</w:t>
      </w:r>
      <w:r>
        <w:rPr>
          <w:rFonts w:hint="eastAsia" w:ascii="仿宋_GB2312" w:hAnsi="仿宋_GB2312" w:cs="仿宋_GB2312"/>
          <w:szCs w:val="32"/>
          <w:shd w:val="clear" w:color="auto" w:fill="FFFFFF"/>
          <w:lang w:eastAsia="zh-CN"/>
        </w:rPr>
        <w:t>；公开发布政府集中采购项目</w:t>
      </w:r>
      <w:r>
        <w:rPr>
          <w:rFonts w:hint="eastAsia" w:ascii="仿宋_GB2312" w:hAnsi="仿宋_GB2312" w:cs="仿宋_GB2312"/>
          <w:szCs w:val="32"/>
          <w:shd w:val="clear" w:color="auto" w:fill="FFFFFF"/>
          <w:lang w:val="en-US" w:eastAsia="zh-CN"/>
        </w:rPr>
        <w:t>4592个，采购总金额达106.61亿元；</w:t>
      </w:r>
      <w:r>
        <w:rPr>
          <w:rFonts w:hint="eastAsia" w:ascii="仿宋_GB2312" w:hAnsi="仿宋_GB2312" w:cs="仿宋_GB2312"/>
          <w:szCs w:val="32"/>
          <w:shd w:val="clear" w:color="auto" w:fill="FFFFFF"/>
          <w:lang w:eastAsia="zh-CN"/>
        </w:rPr>
        <w:t>教育、卫生健康、水电气热等</w:t>
      </w:r>
      <w:r>
        <w:rPr>
          <w:rFonts w:hint="eastAsia" w:ascii="仿宋_GB2312" w:hAnsi="仿宋_GB2312" w:cs="仿宋_GB2312"/>
          <w:szCs w:val="32"/>
          <w:shd w:val="clear" w:color="auto" w:fill="FFFFFF"/>
          <w:lang w:val="en-US" w:eastAsia="zh-CN"/>
        </w:rPr>
        <w:t>八大类</w:t>
      </w:r>
      <w:r>
        <w:rPr>
          <w:rFonts w:hint="eastAsia" w:ascii="仿宋_GB2312" w:hAnsi="仿宋_GB2312" w:cs="仿宋_GB2312"/>
          <w:szCs w:val="32"/>
        </w:rPr>
        <w:t>386家公共企事业</w:t>
      </w:r>
      <w:r>
        <w:rPr>
          <w:rFonts w:hint="eastAsia" w:ascii="仿宋_GB2312" w:hAnsi="仿宋_GB2312" w:cs="仿宋_GB2312"/>
          <w:szCs w:val="32"/>
          <w:lang w:eastAsia="zh-CN"/>
        </w:rPr>
        <w:t>单位通过政府门户网站累计向社会公开政府信息</w:t>
      </w:r>
      <w:r>
        <w:rPr>
          <w:rFonts w:hint="eastAsia" w:ascii="仿宋_GB2312" w:hAnsi="仿宋_GB2312" w:cs="仿宋_GB2312"/>
          <w:szCs w:val="32"/>
          <w:lang w:val="en-US" w:eastAsia="zh-CN"/>
        </w:rPr>
        <w:t>3000余条</w:t>
      </w:r>
      <w:r>
        <w:rPr>
          <w:rFonts w:hint="eastAsia" w:ascii="仿宋_GB2312" w:hAnsi="仿宋_GB2312" w:cs="仿宋_GB2312"/>
          <w:szCs w:val="32"/>
          <w:lang w:eastAsia="zh-CN"/>
        </w:rPr>
        <w:t>；</w:t>
      </w:r>
      <w:r>
        <w:rPr>
          <w:rFonts w:hint="eastAsia" w:ascii="仿宋_GB2312"/>
          <w:szCs w:val="32"/>
          <w:lang w:eastAsia="zh-CN"/>
        </w:rPr>
        <w:t>在烟台市政府门户网站创建</w:t>
      </w:r>
      <w:r>
        <w:rPr>
          <w:rFonts w:hint="eastAsia" w:ascii="仿宋_GB2312" w:hAnsi="仿宋_GB2312" w:cs="仿宋_GB2312"/>
          <w:szCs w:val="32"/>
        </w:rPr>
        <w:t>新媒体矩阵，方便公众手机端查询</w:t>
      </w:r>
      <w:r>
        <w:rPr>
          <w:rFonts w:hint="eastAsia" w:ascii="仿宋_GB2312" w:hAnsi="仿宋_GB2312" w:cs="仿宋_GB2312"/>
          <w:szCs w:val="32"/>
          <w:lang w:eastAsia="zh-CN"/>
        </w:rPr>
        <w:t>。全市各级行政机关依法主动公开政府信息，</w:t>
      </w:r>
      <w:r>
        <w:rPr>
          <w:rFonts w:hint="eastAsia" w:ascii="仿宋_GB2312" w:hAnsi="仿宋_GB2312" w:cs="仿宋_GB2312"/>
          <w:szCs w:val="32"/>
        </w:rPr>
        <w:t>保障了公民获取政府信息的权利，大大提高了政府工作的透明度，</w:t>
      </w:r>
      <w:r>
        <w:rPr>
          <w:rFonts w:hint="eastAsia" w:ascii="仿宋_GB2312" w:hAnsi="仿宋_GB2312" w:cs="仿宋_GB2312"/>
          <w:szCs w:val="32"/>
          <w:lang w:eastAsia="zh-CN"/>
        </w:rPr>
        <w:t>对</w:t>
      </w:r>
      <w:r>
        <w:rPr>
          <w:rFonts w:hint="eastAsia" w:ascii="仿宋_GB2312" w:hAnsi="仿宋_GB2312" w:cs="仿宋_GB2312"/>
          <w:szCs w:val="32"/>
        </w:rPr>
        <w:t>促进阳光政府建设、推进依法行政起</w:t>
      </w:r>
      <w:r>
        <w:rPr>
          <w:rFonts w:hint="eastAsia" w:ascii="仿宋_GB2312" w:hAnsi="仿宋_GB2312" w:cs="仿宋_GB2312"/>
          <w:szCs w:val="32"/>
          <w:lang w:eastAsia="zh-CN"/>
        </w:rPr>
        <w:t>到了</w:t>
      </w:r>
      <w:r>
        <w:rPr>
          <w:rFonts w:hint="eastAsia" w:ascii="仿宋_GB2312" w:hAnsi="仿宋_GB2312" w:cs="仿宋_GB2312"/>
          <w:szCs w:val="32"/>
        </w:rPr>
        <w:t>重</w:t>
      </w:r>
      <w:r>
        <w:rPr>
          <w:rFonts w:hint="eastAsia" w:ascii="仿宋_GB2312" w:hAnsi="仿宋_GB2312" w:cs="仿宋_GB2312"/>
          <w:szCs w:val="32"/>
          <w:lang w:eastAsia="zh-CN"/>
        </w:rPr>
        <w:t>要</w:t>
      </w:r>
      <w:r>
        <w:rPr>
          <w:rFonts w:hint="eastAsia" w:ascii="仿宋_GB2312" w:hAnsi="仿宋_GB2312" w:cs="仿宋_GB2312"/>
          <w:szCs w:val="32"/>
        </w:rPr>
        <w:t>作用。</w:t>
      </w:r>
    </w:p>
    <w:p>
      <w:pPr>
        <w:spacing w:line="560" w:lineRule="exact"/>
        <w:ind w:firstLine="632" w:firstLineChars="200"/>
        <w:rPr>
          <w:rFonts w:hint="eastAsia" w:ascii="仿宋_GB2312" w:hAnsi="仿宋_GB2312" w:eastAsia="仿宋_GB2312" w:cs="仿宋_GB2312"/>
          <w:szCs w:val="32"/>
          <w:lang w:eastAsia="zh-CN"/>
        </w:rPr>
      </w:pPr>
      <w:r>
        <w:rPr>
          <w:rFonts w:hint="eastAsia" w:ascii="仿宋_GB2312" w:hAnsi="仿宋_GB2312" w:cs="仿宋_GB2312"/>
          <w:szCs w:val="32"/>
          <w:lang w:eastAsia="zh-CN"/>
        </w:rPr>
        <w:drawing>
          <wp:anchor distT="0" distB="0" distL="114300" distR="114300" simplePos="0" relativeHeight="251737088" behindDoc="0" locked="0" layoutInCell="1" allowOverlap="1">
            <wp:simplePos x="0" y="0"/>
            <wp:positionH relativeFrom="column">
              <wp:posOffset>-67945</wp:posOffset>
            </wp:positionH>
            <wp:positionV relativeFrom="paragraph">
              <wp:posOffset>483235</wp:posOffset>
            </wp:positionV>
            <wp:extent cx="2355850" cy="3376930"/>
            <wp:effectExtent l="0" t="0" r="6350" b="13970"/>
            <wp:wrapSquare wrapText="bothSides"/>
            <wp:docPr id="10" name="图片 10" descr="微信截图_2020070110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截图_20200701104142"/>
                    <pic:cNvPicPr>
                      <a:picLocks noChangeAspect="1"/>
                    </pic:cNvPicPr>
                  </pic:nvPicPr>
                  <pic:blipFill>
                    <a:blip r:embed="rId13"/>
                    <a:stretch>
                      <a:fillRect/>
                    </a:stretch>
                  </pic:blipFill>
                  <pic:spPr>
                    <a:xfrm>
                      <a:off x="0" y="0"/>
                      <a:ext cx="2355850" cy="3376930"/>
                    </a:xfrm>
                    <a:prstGeom prst="rect">
                      <a:avLst/>
                    </a:prstGeom>
                  </pic:spPr>
                </pic:pic>
              </a:graphicData>
            </a:graphic>
          </wp:anchor>
        </w:drawing>
      </w:r>
      <w:r>
        <w:rPr>
          <w:rFonts w:hint="eastAsia" w:ascii="楷体_GB2312" w:hAnsi="楷体_GB2312" w:eastAsia="楷体_GB2312" w:cs="楷体_GB2312"/>
          <w:szCs w:val="32"/>
          <w:shd w:val="clear" w:color="auto" w:fill="FFFFFF"/>
        </w:rPr>
        <w:t>（三）规范</w:t>
      </w:r>
      <w:r>
        <w:rPr>
          <w:rFonts w:hint="eastAsia" w:ascii="楷体_GB2312" w:hAnsi="楷体_GB2312" w:eastAsia="楷体_GB2312" w:cs="楷体_GB2312"/>
          <w:szCs w:val="32"/>
          <w:shd w:val="clear" w:color="auto" w:fill="FFFFFF"/>
          <w:lang w:eastAsia="zh-CN"/>
        </w:rPr>
        <w:t>做好</w:t>
      </w:r>
      <w:r>
        <w:rPr>
          <w:rFonts w:hint="eastAsia" w:ascii="楷体_GB2312" w:hAnsi="楷体_GB2312" w:eastAsia="楷体_GB2312" w:cs="楷体_GB2312"/>
          <w:szCs w:val="32"/>
          <w:shd w:val="clear" w:color="auto" w:fill="FFFFFF"/>
        </w:rPr>
        <w:t>依申请公开。</w:t>
      </w:r>
      <w:r>
        <w:rPr>
          <w:rFonts w:hint="eastAsia" w:ascii="仿宋_GB2312" w:hAnsi="仿宋_GB2312" w:cs="仿宋_GB2312"/>
          <w:szCs w:val="32"/>
          <w:shd w:val="clear" w:color="auto" w:fill="FFFFFF"/>
        </w:rPr>
        <w:t>根据新《条例》规定，修订发布</w:t>
      </w:r>
      <w:r>
        <w:rPr>
          <w:rFonts w:hint="eastAsia" w:ascii="仿宋_GB2312" w:hAnsi="仿宋_GB2312" w:cs="仿宋_GB2312"/>
          <w:szCs w:val="32"/>
          <w:shd w:val="clear" w:color="auto" w:fill="FFFFFF"/>
          <w:lang w:eastAsia="zh-CN"/>
        </w:rPr>
        <w:t>了</w:t>
      </w:r>
      <w:r>
        <w:rPr>
          <w:rFonts w:hint="eastAsia" w:ascii="仿宋_GB2312" w:hAnsi="仿宋_GB2312" w:cs="仿宋_GB2312"/>
          <w:szCs w:val="32"/>
          <w:shd w:val="clear" w:color="auto" w:fill="FFFFFF"/>
        </w:rPr>
        <w:t>2019年版《</w:t>
      </w:r>
      <w:r>
        <w:rPr>
          <w:rFonts w:hint="eastAsia" w:ascii="仿宋_GB2312" w:hAnsi="仿宋_GB2312" w:cs="仿宋_GB2312"/>
          <w:szCs w:val="32"/>
          <w:shd w:val="clear" w:color="auto" w:fill="FFFFFF"/>
          <w:lang w:eastAsia="zh-CN"/>
        </w:rPr>
        <w:t>烟台市</w:t>
      </w:r>
      <w:r>
        <w:rPr>
          <w:rFonts w:hint="eastAsia" w:ascii="仿宋_GB2312" w:hAnsi="仿宋_GB2312" w:cs="仿宋_GB2312"/>
          <w:szCs w:val="32"/>
          <w:shd w:val="clear" w:color="auto" w:fill="FFFFFF"/>
        </w:rPr>
        <w:t>政府信息公开指南》《</w:t>
      </w:r>
      <w:r>
        <w:rPr>
          <w:rFonts w:hint="eastAsia" w:ascii="仿宋_GB2312" w:hAnsi="仿宋_GB2312" w:cs="仿宋_GB2312"/>
          <w:szCs w:val="32"/>
          <w:shd w:val="clear" w:color="auto" w:fill="FFFFFF"/>
          <w:lang w:eastAsia="zh-CN"/>
        </w:rPr>
        <w:t>烟台市政府信息公开指引</w:t>
      </w:r>
      <w:r>
        <w:rPr>
          <w:rFonts w:hint="eastAsia" w:ascii="仿宋_GB2312" w:hAnsi="仿宋_GB2312" w:cs="仿宋_GB2312"/>
          <w:szCs w:val="32"/>
          <w:shd w:val="clear" w:color="auto" w:fill="FFFFFF"/>
        </w:rPr>
        <w:t>》</w:t>
      </w:r>
      <w:r>
        <w:rPr>
          <w:rFonts w:hint="eastAsia" w:ascii="仿宋_GB2312" w:hAnsi="仿宋_GB2312" w:cs="仿宋_GB2312"/>
          <w:szCs w:val="32"/>
          <w:shd w:val="clear" w:color="auto" w:fill="FFFFFF"/>
          <w:lang w:eastAsia="zh-CN"/>
        </w:rPr>
        <w:t>及相关图解</w:t>
      </w:r>
      <w:r>
        <w:rPr>
          <w:rFonts w:hint="eastAsia" w:ascii="仿宋_GB2312" w:hAnsi="仿宋_GB2312" w:cs="仿宋_GB2312"/>
          <w:szCs w:val="32"/>
          <w:shd w:val="clear" w:color="auto" w:fill="FFFFFF"/>
        </w:rPr>
        <w:t>，</w:t>
      </w:r>
      <w:r>
        <w:rPr>
          <w:rFonts w:hint="eastAsia" w:ascii="仿宋_GB2312" w:hAnsi="仿宋_GB2312" w:cs="仿宋_GB2312"/>
          <w:szCs w:val="32"/>
          <w:shd w:val="clear" w:color="auto" w:fill="FFFFFF"/>
          <w:lang w:eastAsia="zh-CN"/>
        </w:rPr>
        <w:t>畅通依申请公开申请渠道，</w:t>
      </w:r>
      <w:r>
        <w:rPr>
          <w:rFonts w:hint="eastAsia" w:ascii="仿宋_GB2312" w:hAnsi="仿宋_GB2312" w:cs="仿宋_GB2312"/>
          <w:szCs w:val="32"/>
          <w:shd w:val="clear" w:color="auto" w:fill="FFFFFF"/>
        </w:rPr>
        <w:t>为社会公众申请政府信息提供</w:t>
      </w:r>
      <w:r>
        <w:rPr>
          <w:rFonts w:hint="eastAsia" w:ascii="仿宋_GB2312" w:hAnsi="仿宋_GB2312" w:cs="仿宋_GB2312"/>
          <w:szCs w:val="32"/>
          <w:shd w:val="clear" w:color="auto" w:fill="FFFFFF"/>
          <w:lang w:eastAsia="zh-CN"/>
        </w:rPr>
        <w:t>方便；加强依申请公开答复流程和规范度的思考，总结</w:t>
      </w:r>
      <w:bookmarkStart w:id="0" w:name="_GoBack"/>
      <w:bookmarkEnd w:id="0"/>
      <w:r>
        <w:rPr>
          <w:rFonts w:hint="eastAsia" w:ascii="仿宋_GB2312" w:hAnsi="仿宋_GB2312" w:cs="仿宋_GB2312"/>
          <w:szCs w:val="32"/>
          <w:shd w:val="clear" w:color="auto" w:fill="FFFFFF"/>
          <w:lang w:eastAsia="zh-CN"/>
        </w:rPr>
        <w:t>归纳出烟台市依申请公开规范答复“七要素”，制作了全市统一的政府信息公开告知书模板</w:t>
      </w:r>
      <w:r>
        <w:rPr>
          <w:rFonts w:hint="eastAsia" w:ascii="仿宋_GB2312" w:hAnsi="仿宋_GB2312" w:cs="仿宋_GB2312"/>
          <w:szCs w:val="32"/>
          <w:lang w:eastAsia="zh-CN"/>
        </w:rPr>
        <w:t>；</w:t>
      </w:r>
      <w:r>
        <w:rPr>
          <w:rFonts w:hint="eastAsia" w:ascii="仿宋_GB2312" w:hAnsi="仿宋_GB2312" w:cs="仿宋_GB2312"/>
          <w:szCs w:val="32"/>
        </w:rPr>
        <w:t>完善依申请公开报备和审核机制，</w:t>
      </w:r>
      <w:r>
        <w:rPr>
          <w:rFonts w:hint="eastAsia" w:ascii="仿宋_GB2312" w:hAnsi="仿宋_GB2312" w:cs="仿宋_GB2312"/>
          <w:szCs w:val="32"/>
          <w:lang w:eastAsia="zh-CN"/>
        </w:rPr>
        <w:t>建立</w:t>
      </w:r>
      <w:r>
        <w:rPr>
          <w:rFonts w:hint="eastAsia" w:ascii="仿宋_GB2312" w:hAnsi="仿宋_GB2312" w:cs="仿宋_GB2312"/>
          <w:szCs w:val="32"/>
        </w:rPr>
        <w:t>全市行政机关依申请公开工作交流平台，</w:t>
      </w:r>
      <w:r>
        <w:rPr>
          <w:rFonts w:hint="eastAsia" w:ascii="仿宋_GB2312" w:hAnsi="仿宋_GB2312" w:cs="仿宋_GB2312"/>
          <w:szCs w:val="32"/>
          <w:lang w:eastAsia="zh-CN"/>
        </w:rPr>
        <w:t>在微信上</w:t>
      </w:r>
      <w:r>
        <w:rPr>
          <w:rFonts w:hint="eastAsia" w:ascii="仿宋_GB2312" w:hAnsi="仿宋_GB2312" w:cs="仿宋_GB2312"/>
          <w:szCs w:val="32"/>
        </w:rPr>
        <w:t>组建“烟台市政务公开工作交流群”和“县市区政务公开</w:t>
      </w:r>
      <w:r>
        <w:rPr>
          <w:rFonts w:hint="eastAsia" w:ascii="仿宋_GB2312" w:hAnsi="仿宋_GB2312" w:cs="仿宋_GB2312"/>
          <w:szCs w:val="32"/>
          <w:lang w:eastAsia="zh-CN"/>
        </w:rPr>
        <w:t>工作</w:t>
      </w:r>
      <w:r>
        <w:rPr>
          <w:rFonts w:hint="eastAsia" w:ascii="仿宋_GB2312" w:hAnsi="仿宋_GB2312" w:cs="仿宋_GB2312"/>
          <w:szCs w:val="32"/>
        </w:rPr>
        <w:t>推进群”，确保工作有抓手、有渠道</w:t>
      </w:r>
      <w:r>
        <w:rPr>
          <w:rFonts w:hint="eastAsia" w:ascii="仿宋_GB2312" w:hAnsi="仿宋_GB2312" w:cs="仿宋_GB2312"/>
          <w:szCs w:val="32"/>
          <w:lang w:eastAsia="zh-CN"/>
        </w:rPr>
        <w:t>；</w:t>
      </w:r>
      <w:r>
        <w:rPr>
          <w:rFonts w:hint="eastAsia" w:ascii="仿宋_GB2312" w:hAnsi="仿宋_GB2312" w:cs="仿宋_GB2312"/>
          <w:szCs w:val="32"/>
          <w:lang w:val="en-US" w:eastAsia="zh-CN"/>
        </w:rPr>
        <w:t>2019年，市县两级政府</w:t>
      </w:r>
      <w:r>
        <w:rPr>
          <w:rFonts w:hint="eastAsia" w:ascii="仿宋_GB2312" w:hAnsi="仿宋_GB2312" w:cs="仿宋_GB2312"/>
          <w:szCs w:val="32"/>
        </w:rPr>
        <w:t>全年累计受理依申请公开15</w:t>
      </w:r>
      <w:r>
        <w:rPr>
          <w:rFonts w:hint="eastAsia" w:ascii="仿宋_GB2312" w:hAnsi="仿宋_GB2312" w:cs="仿宋_GB2312"/>
          <w:szCs w:val="32"/>
          <w:lang w:val="en-US" w:eastAsia="zh-CN"/>
        </w:rPr>
        <w:t>63</w:t>
      </w:r>
      <w:r>
        <w:rPr>
          <w:rFonts w:hint="eastAsia" w:ascii="仿宋_GB2312" w:hAnsi="仿宋_GB2312" w:cs="仿宋_GB2312"/>
          <w:szCs w:val="32"/>
        </w:rPr>
        <w:t>件，</w:t>
      </w:r>
      <w:r>
        <w:rPr>
          <w:rFonts w:hint="eastAsia" w:ascii="仿宋_GB2312" w:hAnsi="仿宋_GB2312" w:cs="仿宋_GB2312"/>
          <w:szCs w:val="32"/>
          <w:lang w:eastAsia="zh-CN"/>
        </w:rPr>
        <w:t>同比增长</w:t>
      </w:r>
      <w:r>
        <w:rPr>
          <w:rFonts w:hint="eastAsia" w:ascii="仿宋_GB2312" w:hAnsi="仿宋_GB2312" w:cs="仿宋_GB2312"/>
          <w:szCs w:val="32"/>
          <w:lang w:val="en-US" w:eastAsia="zh-CN"/>
        </w:rPr>
        <w:t>65.9%。</w:t>
      </w:r>
      <w:r>
        <w:rPr>
          <w:rFonts w:hint="eastAsia" w:ascii="仿宋_GB2312" w:hAnsi="仿宋_GB2312" w:cs="仿宋_GB2312"/>
          <w:szCs w:val="32"/>
        </w:rPr>
        <w:t>其中</w:t>
      </w:r>
      <w:r>
        <w:rPr>
          <w:rFonts w:hint="eastAsia" w:ascii="仿宋_GB2312" w:hAnsi="仿宋_GB2312" w:cs="仿宋_GB2312"/>
          <w:szCs w:val="32"/>
          <w:lang w:eastAsia="zh-CN"/>
        </w:rPr>
        <w:t>，</w:t>
      </w:r>
      <w:r>
        <w:rPr>
          <w:rFonts w:hint="eastAsia" w:ascii="仿宋_GB2312" w:hAnsi="仿宋_GB2312" w:cs="仿宋_GB2312"/>
          <w:szCs w:val="32"/>
        </w:rPr>
        <w:t>市级</w:t>
      </w:r>
      <w:r>
        <w:rPr>
          <w:rFonts w:hint="eastAsia" w:ascii="仿宋_GB2312" w:hAnsi="仿宋_GB2312" w:cs="仿宋_GB2312"/>
          <w:szCs w:val="32"/>
          <w:lang w:eastAsia="zh-CN"/>
        </w:rPr>
        <w:t>政府及部门</w:t>
      </w:r>
      <w:r>
        <w:rPr>
          <w:rFonts w:hint="eastAsia" w:ascii="仿宋_GB2312" w:hAnsi="仿宋_GB2312" w:cs="仿宋_GB2312"/>
          <w:szCs w:val="32"/>
        </w:rPr>
        <w:t>受理677件</w:t>
      </w:r>
      <w:r>
        <w:rPr>
          <w:rFonts w:hint="eastAsia" w:ascii="仿宋_GB2312" w:hAnsi="仿宋_GB2312" w:cs="仿宋_GB2312"/>
          <w:szCs w:val="32"/>
          <w:lang w:eastAsia="zh-CN"/>
        </w:rPr>
        <w:t>，同比增长</w:t>
      </w:r>
      <w:r>
        <w:rPr>
          <w:rFonts w:hint="eastAsia" w:ascii="仿宋_GB2312" w:hAnsi="仿宋_GB2312" w:cs="仿宋_GB2312"/>
          <w:szCs w:val="32"/>
          <w:lang w:val="en-US" w:eastAsia="zh-CN"/>
        </w:rPr>
        <w:t>72.7%，</w:t>
      </w:r>
      <w:r>
        <w:rPr>
          <w:rFonts w:hint="eastAsia" w:ascii="仿宋_GB2312" w:hAnsi="仿宋_GB2312" w:cs="仿宋_GB2312"/>
          <w:szCs w:val="32"/>
          <w:lang w:eastAsia="zh-CN"/>
        </w:rPr>
        <w:t>县级</w:t>
      </w:r>
      <w:r>
        <w:rPr>
          <w:rFonts w:hint="eastAsia" w:ascii="仿宋_GB2312" w:hAnsi="仿宋_GB2312" w:cs="仿宋_GB2312"/>
          <w:szCs w:val="32"/>
        </w:rPr>
        <w:t>受理8</w:t>
      </w:r>
      <w:r>
        <w:rPr>
          <w:rFonts w:hint="eastAsia" w:ascii="仿宋_GB2312" w:hAnsi="仿宋_GB2312" w:cs="仿宋_GB2312"/>
          <w:szCs w:val="32"/>
          <w:lang w:val="en-US" w:eastAsia="zh-CN"/>
        </w:rPr>
        <w:t>86</w:t>
      </w:r>
      <w:r>
        <w:rPr>
          <w:rFonts w:hint="eastAsia" w:ascii="仿宋_GB2312" w:hAnsi="仿宋_GB2312" w:cs="仿宋_GB2312"/>
          <w:szCs w:val="32"/>
        </w:rPr>
        <w:t>件</w:t>
      </w:r>
      <w:r>
        <w:rPr>
          <w:rFonts w:hint="eastAsia" w:ascii="仿宋_GB2312" w:hAnsi="仿宋_GB2312" w:cs="仿宋_GB2312"/>
          <w:szCs w:val="32"/>
          <w:lang w:eastAsia="zh-CN"/>
        </w:rPr>
        <w:t>，同比增长</w:t>
      </w:r>
      <w:r>
        <w:rPr>
          <w:rFonts w:hint="eastAsia" w:ascii="仿宋_GB2312" w:hAnsi="仿宋_GB2312" w:cs="仿宋_GB2312"/>
          <w:szCs w:val="32"/>
          <w:lang w:val="en-US" w:eastAsia="zh-CN"/>
        </w:rPr>
        <w:t>62.1%</w:t>
      </w:r>
      <w:r>
        <w:rPr>
          <w:rFonts w:hint="eastAsia" w:ascii="仿宋_GB2312" w:hAnsi="仿宋_GB2312" w:cs="仿宋_GB2312"/>
          <w:szCs w:val="32"/>
          <w:lang w:eastAsia="zh-CN"/>
        </w:rPr>
        <w:t>。</w:t>
      </w:r>
      <w:r>
        <w:rPr>
          <w:rFonts w:hint="eastAsia" w:ascii="仿宋_GB2312" w:hAnsi="仿宋_GB2312" w:eastAsia="仿宋_GB2312" w:cs="仿宋_GB2312"/>
          <w:bCs/>
          <w:color w:val="000000"/>
          <w:sz w:val="32"/>
          <w:szCs w:val="32"/>
        </w:rPr>
        <w:t>全市</w:t>
      </w:r>
      <w:r>
        <w:rPr>
          <w:rFonts w:hint="eastAsia" w:ascii="仿宋_GB2312" w:hAnsi="仿宋_GB2312" w:cs="仿宋_GB2312"/>
          <w:bCs/>
          <w:color w:val="000000"/>
          <w:sz w:val="32"/>
          <w:szCs w:val="32"/>
          <w:lang w:eastAsia="zh-CN"/>
        </w:rPr>
        <w:t>因政府信息依申请公开引起的</w:t>
      </w:r>
      <w:r>
        <w:rPr>
          <w:rFonts w:hint="eastAsia" w:ascii="仿宋_GB2312" w:hAnsi="仿宋_GB2312" w:eastAsia="仿宋_GB2312" w:cs="仿宋_GB2312"/>
          <w:bCs/>
          <w:color w:val="000000"/>
          <w:sz w:val="32"/>
          <w:szCs w:val="32"/>
        </w:rPr>
        <w:t>行政复议6起，被纠正1起</w:t>
      </w:r>
      <w:r>
        <w:rPr>
          <w:rFonts w:hint="eastAsia" w:ascii="仿宋_GB2312" w:hAnsi="仿宋_GB2312" w:cs="仿宋_GB2312"/>
          <w:bCs/>
          <w:color w:val="000000"/>
          <w:sz w:val="32"/>
          <w:szCs w:val="32"/>
          <w:lang w:eastAsia="zh-CN"/>
        </w:rPr>
        <w:t>；行政</w:t>
      </w:r>
      <w:r>
        <w:rPr>
          <w:rFonts w:hint="eastAsia" w:ascii="仿宋_GB2312" w:hAnsi="仿宋_GB2312" w:eastAsia="仿宋_GB2312" w:cs="仿宋_GB2312"/>
          <w:bCs/>
          <w:color w:val="000000"/>
          <w:sz w:val="32"/>
          <w:szCs w:val="32"/>
        </w:rPr>
        <w:t>诉讼3起。</w:t>
      </w:r>
    </w:p>
    <w:p>
      <w:pPr>
        <w:spacing w:line="560" w:lineRule="exact"/>
        <w:ind w:firstLine="640"/>
        <w:rPr>
          <w:rFonts w:hint="eastAsia" w:ascii="仿宋_GB2312" w:hAnsi="仿宋_GB2312" w:cs="仿宋_GB2312"/>
          <w:szCs w:val="32"/>
          <w:shd w:val="clear" w:color="auto" w:fill="FFFFFF"/>
        </w:rPr>
      </w:pPr>
      <w:r>
        <w:rPr>
          <w:rFonts w:hint="eastAsia" w:ascii="仿宋_GB2312" w:hAnsi="仿宋_GB2312" w:cs="仿宋_GB2312"/>
          <w:szCs w:val="32"/>
          <w:shd w:val="clear" w:color="auto" w:fill="FFFFFF"/>
          <w:lang w:eastAsia="zh-CN"/>
        </w:rPr>
        <w:drawing>
          <wp:anchor distT="0" distB="0" distL="114300" distR="114300" simplePos="0" relativeHeight="251738112" behindDoc="1" locked="0" layoutInCell="1" allowOverlap="1">
            <wp:simplePos x="0" y="0"/>
            <wp:positionH relativeFrom="column">
              <wp:posOffset>1682115</wp:posOffset>
            </wp:positionH>
            <wp:positionV relativeFrom="paragraph">
              <wp:posOffset>1091565</wp:posOffset>
            </wp:positionV>
            <wp:extent cx="3909060" cy="4613275"/>
            <wp:effectExtent l="0" t="0" r="15240" b="15875"/>
            <wp:wrapTight wrapText="bothSides">
              <wp:wrapPolygon>
                <wp:start x="0" y="0"/>
                <wp:lineTo x="0" y="21496"/>
                <wp:lineTo x="21474" y="21496"/>
                <wp:lineTo x="21474" y="0"/>
                <wp:lineTo x="0" y="0"/>
              </wp:wrapPolygon>
            </wp:wrapTight>
            <wp:docPr id="11" name="图片 11" descr="C:\Users\Administrator\Desktop\微信截图_20200701104343.jpg微信截图_2020070110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Desktop\微信截图_20200701104343.jpg微信截图_20200701104343"/>
                    <pic:cNvPicPr>
                      <a:picLocks noChangeAspect="1"/>
                    </pic:cNvPicPr>
                  </pic:nvPicPr>
                  <pic:blipFill>
                    <a:blip r:embed="rId14"/>
                    <a:srcRect/>
                    <a:stretch>
                      <a:fillRect/>
                    </a:stretch>
                  </pic:blipFill>
                  <pic:spPr>
                    <a:xfrm>
                      <a:off x="0" y="0"/>
                      <a:ext cx="3909060" cy="4613275"/>
                    </a:xfrm>
                    <a:prstGeom prst="rect">
                      <a:avLst/>
                    </a:prstGeom>
                  </pic:spPr>
                </pic:pic>
              </a:graphicData>
            </a:graphic>
          </wp:anchor>
        </w:drawing>
      </w:r>
      <w:r>
        <w:rPr>
          <w:rFonts w:hint="eastAsia" w:ascii="楷体_GB2312" w:hAnsi="楷体_GB2312" w:eastAsia="楷体_GB2312" w:cs="楷体_GB2312"/>
          <w:szCs w:val="32"/>
          <w:shd w:val="clear" w:color="auto" w:fill="FFFFFF"/>
        </w:rPr>
        <w:t>（四）稳步推进政务信息管理。</w:t>
      </w:r>
      <w:r>
        <w:rPr>
          <w:rFonts w:hint="eastAsia" w:ascii="仿宋_GB2312" w:hAnsi="仿宋_GB2312" w:cs="仿宋_GB2312"/>
          <w:szCs w:val="32"/>
          <w:shd w:val="clear" w:color="auto" w:fill="FFFFFF"/>
          <w:lang w:eastAsia="zh-CN"/>
        </w:rPr>
        <w:t>进一步加强了对</w:t>
      </w:r>
      <w:r>
        <w:rPr>
          <w:rFonts w:hint="eastAsia" w:ascii="仿宋_GB2312" w:hAnsi="仿宋_GB2312" w:cs="仿宋_GB2312"/>
          <w:szCs w:val="32"/>
          <w:shd w:val="clear" w:color="auto" w:fill="FFFFFF"/>
        </w:rPr>
        <w:t>政府行政规范性文件的制定和管理</w:t>
      </w:r>
      <w:r>
        <w:rPr>
          <w:rFonts w:hint="eastAsia" w:ascii="仿宋_GB2312" w:hAnsi="仿宋_GB2312" w:cs="仿宋_GB2312"/>
          <w:szCs w:val="32"/>
          <w:shd w:val="clear" w:color="auto" w:fill="FFFFFF"/>
          <w:lang w:eastAsia="zh-CN"/>
        </w:rPr>
        <w:t>，相关职能部门</w:t>
      </w:r>
      <w:r>
        <w:rPr>
          <w:rFonts w:hint="eastAsia" w:ascii="仿宋_GB2312" w:hAnsi="仿宋_GB2312" w:cs="仿宋_GB2312"/>
          <w:szCs w:val="32"/>
          <w:shd w:val="clear" w:color="auto" w:fill="FFFFFF"/>
        </w:rPr>
        <w:t>对政府制定的行政规范性文件进行了全面清理</w:t>
      </w:r>
      <w:r>
        <w:rPr>
          <w:rFonts w:hint="eastAsia" w:ascii="仿宋_GB2312" w:hAnsi="仿宋_GB2312" w:cs="仿宋_GB2312"/>
          <w:szCs w:val="32"/>
          <w:shd w:val="clear" w:color="auto" w:fill="FFFFFF"/>
          <w:lang w:eastAsia="zh-CN"/>
        </w:rPr>
        <w:t>，</w:t>
      </w:r>
      <w:r>
        <w:rPr>
          <w:rFonts w:hint="eastAsia" w:ascii="仿宋_GB2312" w:hAnsi="仿宋_GB2312" w:cs="仿宋_GB2312"/>
          <w:szCs w:val="32"/>
          <w:shd w:val="clear" w:color="auto" w:fill="FFFFFF"/>
        </w:rPr>
        <w:t>共梳理</w:t>
      </w:r>
      <w:r>
        <w:rPr>
          <w:rFonts w:hint="eastAsia" w:ascii="仿宋_GB2312" w:hAnsi="仿宋_GB2312" w:cs="仿宋_GB2312"/>
          <w:szCs w:val="32"/>
          <w:shd w:val="clear" w:color="auto" w:fill="FFFFFF"/>
          <w:lang w:eastAsia="zh-CN"/>
        </w:rPr>
        <w:t>现行有效的行政</w:t>
      </w:r>
      <w:r>
        <w:rPr>
          <w:rFonts w:hint="eastAsia" w:ascii="仿宋_GB2312" w:hAnsi="仿宋_GB2312" w:cs="仿宋_GB2312"/>
          <w:szCs w:val="32"/>
          <w:shd w:val="clear" w:color="auto" w:fill="FFFFFF"/>
        </w:rPr>
        <w:t>规范性文件</w:t>
      </w:r>
      <w:r>
        <w:rPr>
          <w:rFonts w:hint="eastAsia" w:ascii="仿宋_GB2312" w:hAnsi="仿宋_GB2312" w:cs="仿宋_GB2312"/>
          <w:szCs w:val="32"/>
          <w:shd w:val="clear" w:color="auto" w:fill="FFFFFF"/>
          <w:lang w:val="en-US" w:eastAsia="zh-CN"/>
        </w:rPr>
        <w:t>32个</w:t>
      </w:r>
      <w:r>
        <w:rPr>
          <w:rFonts w:hint="eastAsia" w:ascii="仿宋_GB2312" w:hAnsi="仿宋_GB2312" w:cs="仿宋_GB2312"/>
          <w:szCs w:val="32"/>
          <w:shd w:val="clear" w:color="auto" w:fill="FFFFFF"/>
        </w:rPr>
        <w:t>。发布</w:t>
      </w:r>
      <w:r>
        <w:rPr>
          <w:rFonts w:hint="eastAsia" w:ascii="仿宋_GB2312" w:hAnsi="仿宋_GB2312" w:cs="仿宋_GB2312"/>
          <w:szCs w:val="32"/>
          <w:shd w:val="clear" w:color="auto" w:fill="FFFFFF"/>
          <w:lang w:eastAsia="zh-CN"/>
        </w:rPr>
        <w:t>了《</w:t>
      </w:r>
      <w:r>
        <w:rPr>
          <w:rFonts w:hint="eastAsia" w:ascii="仿宋_GB2312" w:hAnsi="仿宋_GB2312" w:cs="仿宋_GB2312"/>
          <w:szCs w:val="32"/>
          <w:shd w:val="clear" w:color="auto" w:fill="FFFFFF"/>
        </w:rPr>
        <w:t>关于公布行政规范性文件清理结果的通知</w:t>
      </w:r>
      <w:r>
        <w:rPr>
          <w:rFonts w:hint="eastAsia" w:ascii="仿宋_GB2312" w:hAnsi="仿宋_GB2312" w:cs="仿宋_GB2312"/>
          <w:szCs w:val="32"/>
          <w:shd w:val="clear" w:color="auto" w:fill="FFFFFF"/>
          <w:lang w:eastAsia="zh-CN"/>
        </w:rPr>
        <w:t>》</w:t>
      </w:r>
      <w:r>
        <w:rPr>
          <w:rFonts w:hint="eastAsia" w:ascii="仿宋_GB2312" w:hAnsi="仿宋_GB2312" w:cs="仿宋_GB2312"/>
          <w:szCs w:val="32"/>
          <w:shd w:val="clear" w:color="auto" w:fill="FFFFFF"/>
        </w:rPr>
        <w:t>（烟政字〔2019〕40号），对宣布失效的已公开文件完善</w:t>
      </w:r>
      <w:r>
        <w:rPr>
          <w:rFonts w:hint="eastAsia" w:ascii="仿宋_GB2312" w:hAnsi="仿宋_GB2312" w:cs="仿宋_GB2312"/>
          <w:szCs w:val="32"/>
          <w:shd w:val="clear" w:color="auto" w:fill="FFFFFF"/>
          <w:lang w:eastAsia="zh-CN"/>
        </w:rPr>
        <w:t>了</w:t>
      </w:r>
      <w:r>
        <w:rPr>
          <w:rFonts w:hint="eastAsia" w:ascii="仿宋_GB2312" w:hAnsi="仿宋_GB2312" w:cs="仿宋_GB2312"/>
          <w:szCs w:val="32"/>
          <w:shd w:val="clear" w:color="auto" w:fill="FFFFFF"/>
        </w:rPr>
        <w:t>标注工作。</w:t>
      </w:r>
      <w:r>
        <w:rPr>
          <w:rFonts w:hint="eastAsia" w:ascii="仿宋_GB2312" w:hAnsi="仿宋_GB2312" w:cs="仿宋_GB2312"/>
          <w:szCs w:val="32"/>
          <w:shd w:val="clear" w:color="auto" w:fill="FFFFFF"/>
          <w:lang w:eastAsia="zh-CN"/>
        </w:rPr>
        <w:t>认真落实好</w:t>
      </w:r>
      <w:r>
        <w:rPr>
          <w:rFonts w:hint="eastAsia" w:ascii="仿宋_GB2312" w:hAnsi="仿宋_GB2312" w:cs="仿宋_GB2312"/>
          <w:szCs w:val="32"/>
          <w:shd w:val="clear" w:color="auto" w:fill="FFFFFF"/>
        </w:rPr>
        <w:t>国务院办公厅《关于做好政府公报工作的通知》</w:t>
      </w:r>
      <w:r>
        <w:rPr>
          <w:rFonts w:hint="eastAsia" w:ascii="仿宋_GB2312" w:hAnsi="仿宋_GB2312" w:cs="仿宋_GB2312"/>
          <w:szCs w:val="32"/>
          <w:shd w:val="clear" w:color="auto" w:fill="FFFFFF"/>
          <w:lang w:eastAsia="zh-CN"/>
        </w:rPr>
        <w:t>，汇总</w:t>
      </w:r>
      <w:r>
        <w:rPr>
          <w:rFonts w:hint="eastAsia" w:ascii="仿宋_GB2312" w:hAnsi="仿宋_GB2312" w:cs="仿宋_GB2312"/>
          <w:szCs w:val="32"/>
          <w:shd w:val="clear" w:color="auto" w:fill="FFFFFF"/>
        </w:rPr>
        <w:t>200</w:t>
      </w:r>
      <w:r>
        <w:rPr>
          <w:rFonts w:hint="eastAsia" w:ascii="仿宋_GB2312" w:hAnsi="仿宋_GB2312" w:cs="仿宋_GB2312"/>
          <w:szCs w:val="32"/>
          <w:shd w:val="clear" w:color="auto" w:fill="FFFFFF"/>
          <w:lang w:val="en-US" w:eastAsia="zh-CN"/>
        </w:rPr>
        <w:t>3</w:t>
      </w:r>
      <w:r>
        <w:rPr>
          <w:rFonts w:hint="eastAsia" w:ascii="仿宋_GB2312" w:hAnsi="仿宋_GB2312" w:cs="仿宋_GB2312"/>
          <w:szCs w:val="32"/>
          <w:shd w:val="clear" w:color="auto" w:fill="FFFFFF"/>
        </w:rPr>
        <w:t>年以来电子版公报</w:t>
      </w:r>
      <w:r>
        <w:rPr>
          <w:rFonts w:hint="eastAsia" w:ascii="仿宋_GB2312" w:hAnsi="仿宋_GB2312" w:cs="仿宋_GB2312"/>
          <w:szCs w:val="32"/>
          <w:shd w:val="clear" w:color="auto" w:fill="FFFFFF"/>
          <w:lang w:eastAsia="zh-CN"/>
        </w:rPr>
        <w:t>共计</w:t>
      </w:r>
      <w:r>
        <w:rPr>
          <w:rFonts w:hint="eastAsia" w:ascii="仿宋_GB2312" w:hAnsi="仿宋_GB2312" w:cs="仿宋_GB2312"/>
          <w:szCs w:val="32"/>
          <w:shd w:val="clear" w:color="auto" w:fill="FFFFFF"/>
          <w:lang w:val="en-US" w:eastAsia="zh-CN"/>
        </w:rPr>
        <w:t>188期，</w:t>
      </w:r>
      <w:r>
        <w:rPr>
          <w:rFonts w:hint="eastAsia" w:ascii="仿宋_GB2312" w:hAnsi="仿宋_GB2312" w:cs="仿宋_GB2312"/>
          <w:szCs w:val="32"/>
          <w:shd w:val="clear" w:color="auto" w:fill="FFFFFF"/>
          <w:lang w:eastAsia="zh-CN"/>
        </w:rPr>
        <w:t>集中分年度在政府门户网站公开，并提供</w:t>
      </w:r>
      <w:r>
        <w:rPr>
          <w:rFonts w:hint="eastAsia" w:ascii="仿宋_GB2312" w:hAnsi="仿宋_GB2312" w:cs="仿宋_GB2312"/>
          <w:szCs w:val="32"/>
          <w:shd w:val="clear" w:color="auto" w:fill="FFFFFF"/>
          <w:lang w:val="en-US" w:eastAsia="zh-CN"/>
        </w:rPr>
        <w:t>PDF</w:t>
      </w:r>
      <w:r>
        <w:rPr>
          <w:rFonts w:hint="eastAsia" w:ascii="仿宋_GB2312" w:hAnsi="仿宋_GB2312" w:cs="仿宋_GB2312"/>
          <w:szCs w:val="32"/>
          <w:shd w:val="clear" w:color="auto" w:fill="FFFFFF"/>
        </w:rPr>
        <w:t>格式的检索、查询和下载服务，推动2005年以前公报数字化工作。</w:t>
      </w:r>
      <w:r>
        <w:rPr>
          <w:rFonts w:hint="eastAsia" w:ascii="仿宋_GB2312" w:hAnsi="仿宋_GB2312" w:cs="仿宋_GB2312"/>
          <w:szCs w:val="32"/>
          <w:shd w:val="clear" w:color="auto" w:fill="FFFFFF"/>
          <w:lang w:eastAsia="zh-CN"/>
        </w:rPr>
        <w:t>在政府门户网站开设政策汇编专栏，</w:t>
      </w:r>
      <w:r>
        <w:rPr>
          <w:rFonts w:hint="eastAsia" w:ascii="仿宋_GB2312" w:hAnsi="仿宋_GB2312" w:cs="仿宋_GB2312"/>
          <w:szCs w:val="32"/>
          <w:shd w:val="clear" w:color="auto" w:fill="FFFFFF"/>
          <w:lang w:val="en-US" w:eastAsia="zh-CN"/>
        </w:rPr>
        <w:t>20余个与经济民生密切相关的政府部门</w:t>
      </w:r>
      <w:r>
        <w:rPr>
          <w:rFonts w:hint="eastAsia" w:ascii="仿宋_GB2312" w:hAnsi="仿宋_GB2312" w:cs="仿宋_GB2312"/>
          <w:szCs w:val="32"/>
          <w:shd w:val="clear" w:color="auto" w:fill="FFFFFF"/>
          <w:lang w:eastAsia="zh-CN"/>
        </w:rPr>
        <w:t>对当前社会热点、惠民政策进行了梳理形成了政策文件库，方便</w:t>
      </w:r>
      <w:r>
        <w:rPr>
          <w:rFonts w:hint="eastAsia" w:ascii="仿宋_GB2312" w:hAnsi="仿宋_GB2312" w:cs="仿宋_GB2312"/>
          <w:szCs w:val="32"/>
          <w:shd w:val="clear" w:color="auto" w:fill="FFFFFF"/>
          <w:lang w:val="en-US" w:eastAsia="zh-CN"/>
        </w:rPr>
        <w:t>公众查阅</w:t>
      </w:r>
      <w:r>
        <w:rPr>
          <w:rFonts w:hint="eastAsia" w:ascii="仿宋_GB2312" w:hAnsi="仿宋_GB2312" w:cs="仿宋_GB2312"/>
          <w:szCs w:val="32"/>
          <w:shd w:val="clear" w:color="auto" w:fill="FFFFFF"/>
        </w:rPr>
        <w:t>。</w:t>
      </w:r>
    </w:p>
    <w:p>
      <w:pPr>
        <w:spacing w:line="560" w:lineRule="exact"/>
        <w:ind w:firstLine="640"/>
        <w:rPr>
          <w:rFonts w:hint="eastAsia" w:ascii="仿宋_GB2312" w:hAnsi="仿宋_GB2312" w:cs="仿宋_GB2312"/>
          <w:szCs w:val="32"/>
          <w:shd w:val="clear" w:color="auto" w:fill="FFFFFF"/>
        </w:rPr>
      </w:pPr>
      <w:r>
        <w:rPr>
          <w:rFonts w:hint="eastAsia" w:ascii="仿宋_GB2312" w:hAnsi="仿宋_GB2312" w:cs="仿宋_GB2312"/>
          <w:szCs w:val="32"/>
          <w:shd w:val="clear" w:color="auto" w:fill="FFFFFF"/>
          <w:lang w:val="en-US" w:eastAsia="zh-CN"/>
        </w:rPr>
        <w:drawing>
          <wp:anchor distT="0" distB="0" distL="114300" distR="114300" simplePos="0" relativeHeight="251739136" behindDoc="0" locked="0" layoutInCell="1" allowOverlap="1">
            <wp:simplePos x="0" y="0"/>
            <wp:positionH relativeFrom="column">
              <wp:posOffset>1930400</wp:posOffset>
            </wp:positionH>
            <wp:positionV relativeFrom="paragraph">
              <wp:posOffset>1591310</wp:posOffset>
            </wp:positionV>
            <wp:extent cx="3635375" cy="4437380"/>
            <wp:effectExtent l="0" t="0" r="3175" b="1270"/>
            <wp:wrapSquare wrapText="bothSides"/>
            <wp:docPr id="13" name="图片 13" descr="微信截图_2020070110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截图_20200701105716"/>
                    <pic:cNvPicPr>
                      <a:picLocks noChangeAspect="1"/>
                    </pic:cNvPicPr>
                  </pic:nvPicPr>
                  <pic:blipFill>
                    <a:blip r:embed="rId15"/>
                    <a:stretch>
                      <a:fillRect/>
                    </a:stretch>
                  </pic:blipFill>
                  <pic:spPr>
                    <a:xfrm>
                      <a:off x="0" y="0"/>
                      <a:ext cx="3635375" cy="4437380"/>
                    </a:xfrm>
                    <a:prstGeom prst="rect">
                      <a:avLst/>
                    </a:prstGeom>
                  </pic:spPr>
                </pic:pic>
              </a:graphicData>
            </a:graphic>
          </wp:anchor>
        </w:drawing>
      </w:r>
      <w:r>
        <w:rPr>
          <w:rFonts w:hint="eastAsia" w:ascii="楷体_GB2312" w:hAnsi="楷体_GB2312" w:eastAsia="楷体_GB2312" w:cs="楷体_GB2312"/>
          <w:szCs w:val="32"/>
          <w:shd w:val="clear" w:color="auto" w:fill="FFFFFF"/>
        </w:rPr>
        <w:t>（五）</w:t>
      </w:r>
      <w:r>
        <w:rPr>
          <w:rFonts w:hint="eastAsia" w:ascii="楷体_GB2312" w:hAnsi="楷体_GB2312" w:eastAsia="楷体_GB2312" w:cs="楷体_GB2312"/>
          <w:szCs w:val="32"/>
          <w:shd w:val="clear" w:color="auto" w:fill="FFFFFF"/>
          <w:lang w:eastAsia="zh-CN"/>
        </w:rPr>
        <w:t>努力提升</w:t>
      </w:r>
      <w:r>
        <w:rPr>
          <w:rFonts w:hint="eastAsia" w:ascii="楷体_GB2312" w:hAnsi="楷体_GB2312" w:eastAsia="楷体_GB2312" w:cs="楷体_GB2312"/>
          <w:szCs w:val="32"/>
          <w:shd w:val="clear" w:color="auto" w:fill="FFFFFF"/>
        </w:rPr>
        <w:t>一体化信息公开平台</w:t>
      </w:r>
      <w:r>
        <w:rPr>
          <w:rFonts w:hint="eastAsia" w:ascii="楷体_GB2312" w:hAnsi="楷体_GB2312" w:eastAsia="楷体_GB2312" w:cs="楷体_GB2312"/>
          <w:szCs w:val="32"/>
          <w:shd w:val="clear" w:color="auto" w:fill="FFFFFF"/>
          <w:lang w:eastAsia="zh-CN"/>
        </w:rPr>
        <w:t>服务和应用水平</w:t>
      </w:r>
      <w:r>
        <w:rPr>
          <w:rFonts w:hint="eastAsia" w:ascii="楷体_GB2312" w:hAnsi="楷体_GB2312" w:eastAsia="楷体_GB2312" w:cs="楷体_GB2312"/>
          <w:szCs w:val="32"/>
          <w:shd w:val="clear" w:color="auto" w:fill="FFFFFF"/>
        </w:rPr>
        <w:t>。</w:t>
      </w:r>
      <w:r>
        <w:rPr>
          <w:rFonts w:hint="eastAsia" w:ascii="仿宋_GB2312" w:hAnsi="仿宋_GB2312" w:cs="仿宋_GB2312"/>
          <w:szCs w:val="32"/>
          <w:shd w:val="clear" w:color="auto" w:fill="FFFFFF"/>
          <w:lang w:val="en-US" w:eastAsia="zh-CN"/>
        </w:rPr>
        <w:t>积极推进全市政府网站集约化平台建设，完善信息内容支撑体系、强化技术保障安全、加强信息资源整合，实现了全市政府网站统一技术平台、统一安全防护、统一运维监管。平台在PC端和移动端统一提供了市直部门和15个县市区网上交流功能，按照“统一规划、分级建设、分级办理”原则，形成上下覆盖、部门联动、标准统一的政务服务咨询投诉体系，实现了市县两级网站互动交流平台的数据集成和共享。开发建设了“烟台一手通”APP并于2019年正式上线运行，推出亮证服务18项，秒办秒批事项15项，推出高频服务事项108项，涵盖医保社保、公积金、住房保障、教育培训等16个领域，对接政务服务平台事项1300多项，合计接入总事项达到1400多项。“烟台一手通”作为我市移动政务服务的总门户，融办事服务、证照服务、秒批服务、生活服务等为一体，为市民提供全方位的政务服务。</w:t>
      </w:r>
    </w:p>
    <w:p>
      <w:pPr>
        <w:spacing w:line="560" w:lineRule="exact"/>
        <w:ind w:firstLine="640"/>
        <w:jc w:val="left"/>
        <w:rPr>
          <w:rFonts w:hint="eastAsia" w:ascii="仿宋_GB2312" w:hAnsi="仿宋_GB2312" w:cs="仿宋_GB2312"/>
          <w:w w:val="98"/>
          <w:szCs w:val="32"/>
          <w:shd w:val="clear" w:color="auto" w:fill="FFFFFF"/>
        </w:rPr>
      </w:pPr>
      <w:r>
        <w:rPr>
          <w:rFonts w:hint="eastAsia" w:ascii="楷体_GB2312" w:hAnsi="楷体_GB2312" w:eastAsia="楷体_GB2312" w:cs="楷体_GB2312"/>
          <w:szCs w:val="32"/>
          <w:shd w:val="clear" w:color="auto" w:fill="FFFFFF"/>
        </w:rPr>
        <w:t>（六）切实加强信息公开监督保障。</w:t>
      </w:r>
      <w:r>
        <w:rPr>
          <w:rFonts w:hint="eastAsia" w:ascii="仿宋_GB2312" w:hAnsi="仿宋_GB2312" w:cs="仿宋_GB2312"/>
          <w:szCs w:val="32"/>
          <w:shd w:val="clear" w:color="auto" w:fill="FFFFFF"/>
          <w:lang w:val="en-US" w:eastAsia="zh-CN"/>
        </w:rPr>
        <w:t>机构改革后，市县两级及时调整了政务公开领导小组，突出做好顶层设计和重大</w:t>
      </w:r>
      <w:r>
        <w:rPr>
          <w:rFonts w:hint="eastAsia" w:ascii="仿宋_GB2312" w:hAnsi="仿宋_GB2312" w:cs="仿宋_GB2312"/>
          <w:w w:val="100"/>
          <w:szCs w:val="32"/>
          <w:shd w:val="clear" w:color="auto" w:fill="FFFFFF"/>
          <w:lang w:eastAsia="zh-CN"/>
        </w:rPr>
        <w:t>问题协调职能；明确市政府办公室政务公开办为全市政务公开专门机构，配强配齐工作人员；继续将政务</w:t>
      </w:r>
      <w:r>
        <w:rPr>
          <w:rFonts w:hint="eastAsia" w:ascii="仿宋_GB2312" w:hAnsi="仿宋_GB2312" w:cs="仿宋_GB2312"/>
          <w:w w:val="100"/>
          <w:szCs w:val="32"/>
          <w:shd w:val="clear" w:color="auto" w:fill="FFFFFF"/>
        </w:rPr>
        <w:t>公开工作纳入绩效考核，</w:t>
      </w:r>
      <w:r>
        <w:rPr>
          <w:rFonts w:hint="eastAsia" w:ascii="仿宋_GB2312" w:hAnsi="仿宋_GB2312" w:cs="仿宋_GB2312"/>
          <w:w w:val="100"/>
          <w:szCs w:val="32"/>
          <w:shd w:val="clear" w:color="auto" w:fill="FFFFFF"/>
          <w:lang w:eastAsia="zh-CN"/>
        </w:rPr>
        <w:t>对市政府各部门和有关单位进行定量考核，</w:t>
      </w:r>
      <w:r>
        <w:rPr>
          <w:rFonts w:hint="eastAsia" w:ascii="仿宋_GB2312" w:hAnsi="仿宋_GB2312" w:cs="仿宋_GB2312"/>
          <w:w w:val="100"/>
          <w:szCs w:val="32"/>
          <w:shd w:val="clear" w:color="auto" w:fill="FFFFFF"/>
        </w:rPr>
        <w:t>在全市经济社会发展考核指标中占</w:t>
      </w:r>
      <w:r>
        <w:rPr>
          <w:rFonts w:hint="eastAsia" w:ascii="仿宋_GB2312" w:hAnsi="仿宋_GB2312" w:cs="仿宋_GB2312"/>
          <w:w w:val="100"/>
          <w:szCs w:val="32"/>
          <w:shd w:val="clear" w:color="auto" w:fill="FFFFFF"/>
          <w:lang w:val="en-US" w:eastAsia="zh-CN"/>
        </w:rPr>
        <w:t>10</w:t>
      </w:r>
      <w:r>
        <w:rPr>
          <w:rFonts w:hint="eastAsia" w:ascii="仿宋_GB2312" w:hAnsi="仿宋_GB2312" w:cs="仿宋_GB2312"/>
          <w:w w:val="100"/>
          <w:szCs w:val="32"/>
          <w:shd w:val="clear" w:color="auto" w:fill="FFFFFF"/>
        </w:rPr>
        <w:t>分</w:t>
      </w:r>
      <w:r>
        <w:rPr>
          <w:rFonts w:hint="eastAsia" w:ascii="仿宋_GB2312" w:hAnsi="仿宋_GB2312" w:cs="仿宋_GB2312"/>
          <w:w w:val="100"/>
          <w:szCs w:val="32"/>
          <w:shd w:val="clear" w:color="auto" w:fill="FFFFFF"/>
          <w:lang w:val="en-US" w:eastAsia="zh-CN"/>
        </w:rPr>
        <w:t>，对各县市区政府进行定性考核。</w:t>
      </w:r>
      <w:r>
        <w:rPr>
          <w:rFonts w:hint="eastAsia" w:ascii="仿宋_GB2312" w:hAnsi="仿宋_GB2312" w:cs="仿宋_GB2312"/>
          <w:w w:val="100"/>
          <w:szCs w:val="32"/>
          <w:shd w:val="clear" w:color="auto" w:fill="FFFFFF"/>
        </w:rPr>
        <w:t>同</w:t>
      </w:r>
      <w:r>
        <w:rPr>
          <w:rFonts w:hint="eastAsia" w:ascii="仿宋_GB2312" w:hAnsi="仿宋_GB2312" w:cs="仿宋_GB2312"/>
          <w:w w:val="98"/>
          <w:szCs w:val="32"/>
          <w:shd w:val="clear" w:color="auto" w:fill="FFFFFF"/>
        </w:rPr>
        <w:t>时，委托第三方</w:t>
      </w:r>
      <w:r>
        <w:rPr>
          <w:rFonts w:hint="eastAsia" w:ascii="仿宋_GB2312" w:hAnsi="仿宋_GB2312" w:cs="仿宋_GB2312"/>
          <w:w w:val="98"/>
          <w:szCs w:val="32"/>
          <w:shd w:val="clear" w:color="auto" w:fill="FFFFFF"/>
          <w:lang w:eastAsia="zh-CN"/>
        </w:rPr>
        <w:t>评估</w:t>
      </w:r>
      <w:r>
        <w:rPr>
          <w:rFonts w:hint="eastAsia" w:ascii="仿宋_GB2312" w:hAnsi="仿宋_GB2312" w:cs="仿宋_GB2312"/>
          <w:w w:val="98"/>
          <w:szCs w:val="32"/>
          <w:shd w:val="clear" w:color="auto" w:fill="FFFFFF"/>
        </w:rPr>
        <w:t>机构开展年度全市政务公开评估工作，有效促进被考核单位找准工作薄弱环节，提升整体政务公开工作质量</w:t>
      </w:r>
      <w:r>
        <w:rPr>
          <w:rFonts w:hint="eastAsia" w:ascii="仿宋_GB2312" w:hAnsi="仿宋_GB2312" w:cs="仿宋_GB2312"/>
          <w:w w:val="98"/>
          <w:szCs w:val="32"/>
          <w:shd w:val="clear" w:color="auto" w:fill="FFFFFF"/>
          <w:lang w:eastAsia="zh-CN"/>
        </w:rPr>
        <w:t>；</w:t>
      </w:r>
      <w:r>
        <w:rPr>
          <w:rFonts w:hint="eastAsia" w:ascii="仿宋_GB2312" w:hAnsi="黑体" w:cs="仿宋_GB2312"/>
          <w:w w:val="98"/>
          <w:szCs w:val="32"/>
        </w:rPr>
        <w:t>建立以干代训</w:t>
      </w:r>
      <w:r>
        <w:rPr>
          <w:rFonts w:hint="eastAsia" w:ascii="仿宋_GB2312" w:hAnsi="黑体" w:cs="仿宋_GB2312"/>
          <w:w w:val="98"/>
          <w:szCs w:val="32"/>
          <w:lang w:eastAsia="zh-CN"/>
        </w:rPr>
        <w:t>、分期轮训</w:t>
      </w:r>
      <w:r>
        <w:rPr>
          <w:rFonts w:hint="eastAsia" w:ascii="仿宋_GB2312" w:hAnsi="黑体" w:cs="仿宋_GB2312"/>
          <w:w w:val="98"/>
          <w:szCs w:val="32"/>
        </w:rPr>
        <w:t>制度，提升全市政务公开工作队伍水平</w:t>
      </w:r>
      <w:r>
        <w:rPr>
          <w:rFonts w:hint="eastAsia" w:ascii="仿宋_GB2312" w:hAnsi="黑体" w:cs="仿宋_GB2312"/>
          <w:w w:val="98"/>
          <w:szCs w:val="32"/>
          <w:lang w:eastAsia="zh-CN"/>
        </w:rPr>
        <w:t>；</w:t>
      </w:r>
      <w:r>
        <w:rPr>
          <w:rFonts w:hint="eastAsia" w:ascii="仿宋_GB2312" w:hAnsi="仿宋_GB2312" w:cs="仿宋_GB2312"/>
          <w:w w:val="98"/>
          <w:szCs w:val="32"/>
          <w:shd w:val="clear" w:color="auto" w:fill="FFFFFF"/>
          <w:lang w:eastAsia="zh-CN"/>
        </w:rPr>
        <w:t>对</w:t>
      </w:r>
      <w:r>
        <w:rPr>
          <w:rFonts w:hint="eastAsia" w:ascii="仿宋_GB2312" w:hAnsi="仿宋_GB2312" w:cs="仿宋_GB2312"/>
          <w:w w:val="98"/>
          <w:szCs w:val="32"/>
          <w:shd w:val="clear" w:color="auto" w:fill="FFFFFF"/>
        </w:rPr>
        <w:t>市、县两级政府网站和政务新媒体</w:t>
      </w:r>
      <w:r>
        <w:rPr>
          <w:rFonts w:hint="eastAsia" w:ascii="仿宋_GB2312" w:hAnsi="仿宋_GB2312" w:cs="仿宋_GB2312"/>
          <w:w w:val="98"/>
          <w:szCs w:val="32"/>
          <w:shd w:val="clear" w:color="auto" w:fill="FFFFFF"/>
          <w:lang w:eastAsia="zh-CN"/>
        </w:rPr>
        <w:t>进行</w:t>
      </w:r>
      <w:r>
        <w:rPr>
          <w:rFonts w:hint="eastAsia" w:ascii="仿宋_GB2312" w:hAnsi="仿宋_GB2312" w:cs="仿宋_GB2312"/>
          <w:w w:val="98"/>
          <w:szCs w:val="32"/>
          <w:shd w:val="clear" w:color="auto" w:fill="FFFFFF"/>
        </w:rPr>
        <w:t>季度抽查和年终考评,每季度抽查比例不低于30%</w:t>
      </w:r>
      <w:r>
        <w:rPr>
          <w:rFonts w:hint="eastAsia" w:ascii="仿宋_GB2312" w:hAnsi="仿宋_GB2312" w:cs="仿宋_GB2312"/>
          <w:w w:val="98"/>
          <w:szCs w:val="32"/>
          <w:shd w:val="clear" w:color="auto" w:fill="FFFFFF"/>
          <w:lang w:eastAsia="zh-CN"/>
        </w:rPr>
        <w:t>，</w:t>
      </w:r>
      <w:r>
        <w:rPr>
          <w:rFonts w:hint="eastAsia" w:ascii="仿宋_GB2312" w:hAnsi="仿宋_GB2312" w:cs="仿宋_GB2312"/>
          <w:w w:val="98"/>
          <w:szCs w:val="32"/>
          <w:shd w:val="clear" w:color="auto" w:fill="FFFFFF"/>
        </w:rPr>
        <w:t>有关结果</w:t>
      </w:r>
      <w:r>
        <w:rPr>
          <w:rFonts w:hint="eastAsia" w:ascii="仿宋_GB2312" w:hAnsi="仿宋_GB2312" w:cs="仿宋_GB2312"/>
          <w:w w:val="98"/>
          <w:szCs w:val="32"/>
          <w:shd w:val="clear" w:color="auto" w:fill="FFFFFF"/>
          <w:lang w:eastAsia="zh-CN"/>
        </w:rPr>
        <w:t>及时</w:t>
      </w:r>
      <w:r>
        <w:rPr>
          <w:rFonts w:hint="eastAsia" w:ascii="仿宋_GB2312" w:hAnsi="仿宋_GB2312" w:cs="仿宋_GB2312"/>
          <w:w w:val="98"/>
          <w:szCs w:val="32"/>
          <w:shd w:val="clear" w:color="auto" w:fill="FFFFFF"/>
        </w:rPr>
        <w:t>向社会</w:t>
      </w:r>
      <w:r>
        <w:rPr>
          <w:rFonts w:hint="eastAsia" w:ascii="仿宋_GB2312" w:hAnsi="仿宋_GB2312" w:cs="仿宋_GB2312"/>
          <w:w w:val="98"/>
          <w:szCs w:val="32"/>
          <w:shd w:val="clear" w:color="auto" w:fill="FFFFFF"/>
          <w:lang w:eastAsia="zh-CN"/>
        </w:rPr>
        <w:t>公开</w:t>
      </w:r>
      <w:r>
        <w:rPr>
          <w:rFonts w:hint="eastAsia" w:ascii="仿宋_GB2312" w:hAnsi="仿宋_GB2312" w:cs="仿宋_GB2312"/>
          <w:w w:val="98"/>
          <w:szCs w:val="32"/>
          <w:shd w:val="clear" w:color="auto" w:fill="FFFFFF"/>
        </w:rPr>
        <w:t>发布。</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lang w:val="en-US" w:eastAsia="zh-CN"/>
        </w:rPr>
      </w:pPr>
      <w:r>
        <w:rPr>
          <w:rFonts w:hint="eastAsia" w:ascii="仿宋_GB2312" w:hAnsi="仿宋_GB2312" w:cs="仿宋_GB2312"/>
          <w:w w:val="98"/>
          <w:szCs w:val="32"/>
          <w:shd w:val="clear" w:color="auto" w:fill="FFFFFF"/>
          <w:lang w:val="en-US" w:eastAsia="zh-CN"/>
        </w:rPr>
        <w:t xml:space="preserve">    </w:t>
      </w:r>
      <w:r>
        <w:rPr>
          <w:rFonts w:hint="eastAsia" w:ascii="楷体_GB2312" w:hAnsi="楷体_GB2312" w:eastAsia="楷体_GB2312" w:cs="楷体_GB2312"/>
          <w:szCs w:val="32"/>
          <w:shd w:val="clear" w:color="auto" w:fill="FFFFFF"/>
        </w:rPr>
        <w:t>（</w:t>
      </w:r>
      <w:r>
        <w:rPr>
          <w:rFonts w:hint="eastAsia" w:ascii="楷体_GB2312" w:hAnsi="楷体_GB2312" w:eastAsia="楷体_GB2312" w:cs="楷体_GB2312"/>
          <w:szCs w:val="32"/>
          <w:shd w:val="clear" w:color="auto" w:fill="FFFFFF"/>
          <w:lang w:eastAsia="zh-CN"/>
        </w:rPr>
        <w:t>七</w:t>
      </w:r>
      <w:r>
        <w:rPr>
          <w:rFonts w:hint="eastAsia" w:ascii="楷体_GB2312" w:hAnsi="楷体_GB2312" w:eastAsia="楷体_GB2312" w:cs="楷体_GB2312"/>
          <w:szCs w:val="32"/>
          <w:shd w:val="clear" w:color="auto" w:fill="FFFFFF"/>
        </w:rPr>
        <w:t>）做好人大代表建议和政协委员提案办理结果公开。</w:t>
      </w:r>
      <w:r>
        <w:rPr>
          <w:rFonts w:hint="eastAsia" w:ascii="仿宋_GB2312" w:hAnsi="仿宋_GB2312" w:eastAsia="仿宋_GB2312" w:cs="仿宋_GB2312"/>
          <w:w w:val="98"/>
          <w:kern w:val="2"/>
          <w:sz w:val="32"/>
          <w:szCs w:val="32"/>
          <w:shd w:val="clear" w:color="auto" w:fill="FFFFFF"/>
          <w:lang w:val="en-US" w:eastAsia="zh-CN" w:bidi="ar-SA"/>
        </w:rPr>
        <w:t>完善市政府门户网站建议提案办理结果公开栏目建设，推动市级部门健全代表建议和委员提案办理结果公开。2019年，全市共整理公开人大代表建议和政协委员提案办理复文694件，进一步接受群众监督。</w:t>
      </w:r>
    </w:p>
    <w:p>
      <w:pPr>
        <w:spacing w:line="560" w:lineRule="exact"/>
        <w:ind w:firstLine="640"/>
        <w:jc w:val="left"/>
        <w:rPr>
          <w:rFonts w:ascii="黑体" w:hAnsi="黑体" w:eastAsia="黑体" w:cs="黑体"/>
          <w:bCs/>
          <w:color w:val="000000"/>
          <w:szCs w:val="32"/>
        </w:rPr>
      </w:pPr>
      <w:r>
        <w:rPr>
          <w:rFonts w:hint="eastAsia" w:ascii="黑体" w:hAnsi="黑体" w:eastAsia="黑体" w:cs="黑体"/>
          <w:bCs/>
          <w:color w:val="000000"/>
          <w:szCs w:val="32"/>
        </w:rPr>
        <w:t>二、主动公开政府信息情况</w:t>
      </w:r>
    </w:p>
    <w:tbl>
      <w:tblPr>
        <w:tblStyle w:val="6"/>
        <w:tblW w:w="9060" w:type="dxa"/>
        <w:jc w:val="center"/>
        <w:tblLayout w:type="fixed"/>
        <w:tblCellMar>
          <w:top w:w="0" w:type="dxa"/>
          <w:left w:w="108" w:type="dxa"/>
          <w:bottom w:w="0" w:type="dxa"/>
          <w:right w:w="108" w:type="dxa"/>
        </w:tblCellMar>
      </w:tblPr>
      <w:tblGrid>
        <w:gridCol w:w="1935"/>
        <w:gridCol w:w="2215"/>
        <w:gridCol w:w="1937"/>
        <w:gridCol w:w="2973"/>
      </w:tblGrid>
      <w:tr>
        <w:tblPrEx>
          <w:tblCellMar>
            <w:top w:w="0" w:type="dxa"/>
            <w:left w:w="108" w:type="dxa"/>
            <w:bottom w:w="0" w:type="dxa"/>
            <w:right w:w="108" w:type="dxa"/>
          </w:tblCellMar>
        </w:tblPrEx>
        <w:trPr>
          <w:trHeight w:val="632" w:hRule="atLeast"/>
          <w:jc w:val="center"/>
        </w:trPr>
        <w:tc>
          <w:tcPr>
            <w:tcW w:w="906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第二十条第（一）项</w:t>
            </w:r>
          </w:p>
        </w:tc>
      </w:tr>
      <w:tr>
        <w:tblPrEx>
          <w:tblCellMar>
            <w:top w:w="0" w:type="dxa"/>
            <w:left w:w="108" w:type="dxa"/>
            <w:bottom w:w="0" w:type="dxa"/>
            <w:right w:w="108" w:type="dxa"/>
          </w:tblCellMar>
        </w:tblPrEx>
        <w:trPr>
          <w:trHeight w:val="666"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信息内容</w:t>
            </w:r>
          </w:p>
        </w:tc>
        <w:tc>
          <w:tcPr>
            <w:tcW w:w="2215" w:type="dxa"/>
            <w:tcBorders>
              <w:top w:val="single" w:color="auto" w:sz="4" w:space="0"/>
              <w:left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本年新制作数量</w:t>
            </w:r>
          </w:p>
        </w:tc>
        <w:tc>
          <w:tcPr>
            <w:tcW w:w="193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本年新公开数量</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pacing w:val="-8"/>
                <w:sz w:val="24"/>
              </w:rPr>
            </w:pPr>
            <w:r>
              <w:rPr>
                <w:rFonts w:hint="eastAsia" w:ascii="黑体" w:hAnsi="黑体" w:eastAsia="黑体" w:cs="黑体"/>
                <w:color w:val="000000"/>
                <w:kern w:val="0"/>
                <w:sz w:val="24"/>
              </w:rPr>
              <w:t>对外公开总数量</w:t>
            </w:r>
          </w:p>
        </w:tc>
      </w:tr>
      <w:tr>
        <w:tblPrEx>
          <w:tblCellMar>
            <w:top w:w="0" w:type="dxa"/>
            <w:left w:w="108" w:type="dxa"/>
            <w:bottom w:w="0" w:type="dxa"/>
            <w:right w:w="108" w:type="dxa"/>
          </w:tblCellMar>
        </w:tblPrEx>
        <w:trPr>
          <w:trHeight w:val="656"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规章</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 xml:space="preserve"> </w:t>
            </w:r>
            <w:r>
              <w:rPr>
                <w:rStyle w:val="27"/>
                <w:rFonts w:hAnsi="仿宋_GB2312"/>
              </w:rPr>
              <w:t>1（市级1）</w:t>
            </w:r>
          </w:p>
        </w:tc>
        <w:tc>
          <w:tcPr>
            <w:tcW w:w="193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 xml:space="preserve"> </w:t>
            </w:r>
            <w:r>
              <w:rPr>
                <w:rStyle w:val="27"/>
                <w:rFonts w:hAnsi="仿宋_GB2312"/>
              </w:rPr>
              <w:t>1（市级1）</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6（市级6）</w:t>
            </w:r>
          </w:p>
        </w:tc>
      </w:tr>
      <w:tr>
        <w:tblPrEx>
          <w:tblCellMar>
            <w:top w:w="0" w:type="dxa"/>
            <w:left w:w="108" w:type="dxa"/>
            <w:bottom w:w="0" w:type="dxa"/>
            <w:right w:w="108" w:type="dxa"/>
          </w:tblCellMar>
        </w:tblPrEx>
        <w:trPr>
          <w:trHeight w:val="785"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规范性文件</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59</w:t>
            </w:r>
            <w:r>
              <w:rPr>
                <w:rStyle w:val="28"/>
                <w:rFonts w:ascii="仿宋_GB2312" w:hAnsi="仿宋_GB2312" w:eastAsia="仿宋_GB2312" w:cs="仿宋_GB2312"/>
              </w:rPr>
              <w:t>（市级</w:t>
            </w:r>
            <w:r>
              <w:rPr>
                <w:rStyle w:val="27"/>
                <w:rFonts w:hAnsi="仿宋_GB2312"/>
              </w:rPr>
              <w:t>19，县级</w:t>
            </w:r>
            <w:r>
              <w:rPr>
                <w:rStyle w:val="29"/>
                <w:rFonts w:hint="eastAsia" w:ascii="仿宋_GB2312" w:hAnsi="仿宋_GB2312" w:cs="仿宋_GB2312"/>
              </w:rPr>
              <w:t>40</w:t>
            </w:r>
            <w:r>
              <w:rPr>
                <w:rStyle w:val="27"/>
                <w:rFonts w:hAnsi="仿宋_GB2312"/>
              </w:rPr>
              <w:t>）</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59</w:t>
            </w:r>
            <w:r>
              <w:rPr>
                <w:rStyle w:val="28"/>
                <w:rFonts w:ascii="仿宋_GB2312" w:hAnsi="仿宋_GB2312" w:eastAsia="仿宋_GB2312" w:cs="仿宋_GB2312"/>
              </w:rPr>
              <w:t>（市级</w:t>
            </w:r>
            <w:r>
              <w:rPr>
                <w:rStyle w:val="27"/>
                <w:rFonts w:hAnsi="仿宋_GB2312"/>
              </w:rPr>
              <w:t>19，县级</w:t>
            </w:r>
            <w:r>
              <w:rPr>
                <w:rStyle w:val="29"/>
                <w:rFonts w:hint="eastAsia" w:ascii="仿宋_GB2312" w:hAnsi="仿宋_GB2312" w:cs="仿宋_GB2312"/>
              </w:rPr>
              <w:t>40</w:t>
            </w:r>
            <w:r>
              <w:rPr>
                <w:rStyle w:val="27"/>
                <w:rFonts w:hAnsi="仿宋_GB2312"/>
              </w:rPr>
              <w:t>）</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225（市级32，县级193）</w:t>
            </w:r>
          </w:p>
        </w:tc>
      </w:tr>
      <w:tr>
        <w:tblPrEx>
          <w:tblCellMar>
            <w:top w:w="0" w:type="dxa"/>
            <w:left w:w="108" w:type="dxa"/>
            <w:bottom w:w="0" w:type="dxa"/>
            <w:right w:w="108" w:type="dxa"/>
          </w:tblCellMar>
        </w:tblPrEx>
        <w:trPr>
          <w:trHeight w:val="764" w:hRule="atLeast"/>
          <w:jc w:val="center"/>
        </w:trPr>
        <w:tc>
          <w:tcPr>
            <w:tcW w:w="906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第二十条第（五）项</w:t>
            </w:r>
          </w:p>
        </w:tc>
      </w:tr>
      <w:tr>
        <w:tblPrEx>
          <w:tblCellMar>
            <w:top w:w="0" w:type="dxa"/>
            <w:left w:w="108" w:type="dxa"/>
            <w:bottom w:w="0" w:type="dxa"/>
            <w:right w:w="108" w:type="dxa"/>
          </w:tblCellMar>
        </w:tblPrEx>
        <w:trPr>
          <w:trHeight w:val="682"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信息内容</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上一年项目数量</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本年增</w:t>
            </w:r>
            <w:r>
              <w:rPr>
                <w:rStyle w:val="30"/>
                <w:rFonts w:hAnsi="黑体"/>
              </w:rPr>
              <w:t>/减</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sz w:val="24"/>
              </w:rPr>
            </w:pPr>
            <w:r>
              <w:rPr>
                <w:rFonts w:hint="eastAsia" w:ascii="黑体" w:hAnsi="黑体" w:eastAsia="黑体" w:cs="黑体"/>
                <w:color w:val="000000"/>
                <w:kern w:val="0"/>
                <w:sz w:val="24"/>
              </w:rPr>
              <w:t>处理决定数量</w:t>
            </w:r>
          </w:p>
        </w:tc>
      </w:tr>
      <w:tr>
        <w:tblPrEx>
          <w:tblCellMar>
            <w:top w:w="0" w:type="dxa"/>
            <w:left w:w="108" w:type="dxa"/>
            <w:bottom w:w="0" w:type="dxa"/>
            <w:right w:w="108" w:type="dxa"/>
          </w:tblCellMar>
        </w:tblPrEx>
        <w:trPr>
          <w:trHeight w:val="454"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行政许可</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907（市级526，县市区最多381）</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-218（市级-61,县级最多-167）</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1062070（市级127852，县级合计934218）</w:t>
            </w:r>
          </w:p>
        </w:tc>
      </w:tr>
      <w:tr>
        <w:tblPrEx>
          <w:tblCellMar>
            <w:top w:w="0" w:type="dxa"/>
            <w:left w:w="108" w:type="dxa"/>
            <w:bottom w:w="0" w:type="dxa"/>
            <w:right w:w="108" w:type="dxa"/>
          </w:tblCellMar>
        </w:tblPrEx>
        <w:trPr>
          <w:trHeight w:val="492"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其他对外管理服务事项</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3056（市级1582，县级最多1474）</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-200（市级-27，县级最多-173）</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320567（市级1213,县级合计319354）</w:t>
            </w:r>
          </w:p>
        </w:tc>
      </w:tr>
      <w:tr>
        <w:tblPrEx>
          <w:tblCellMar>
            <w:top w:w="0" w:type="dxa"/>
            <w:left w:w="108" w:type="dxa"/>
            <w:bottom w:w="0" w:type="dxa"/>
            <w:right w:w="108" w:type="dxa"/>
          </w:tblCellMar>
        </w:tblPrEx>
        <w:trPr>
          <w:trHeight w:val="579" w:hRule="atLeast"/>
          <w:jc w:val="center"/>
        </w:trPr>
        <w:tc>
          <w:tcPr>
            <w:tcW w:w="906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第二十条第（六）项</w:t>
            </w:r>
          </w:p>
        </w:tc>
      </w:tr>
      <w:tr>
        <w:tblPrEx>
          <w:tblCellMar>
            <w:top w:w="0" w:type="dxa"/>
            <w:left w:w="108" w:type="dxa"/>
            <w:bottom w:w="0" w:type="dxa"/>
            <w:right w:w="108" w:type="dxa"/>
          </w:tblCellMar>
        </w:tblPrEx>
        <w:trPr>
          <w:trHeight w:val="619"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信息内容</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上一年项目数量</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本年增/减</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处理决定数量</w:t>
            </w:r>
          </w:p>
        </w:tc>
      </w:tr>
      <w:tr>
        <w:tblPrEx>
          <w:tblCellMar>
            <w:top w:w="0" w:type="dxa"/>
            <w:left w:w="108" w:type="dxa"/>
            <w:bottom w:w="0" w:type="dxa"/>
            <w:right w:w="108" w:type="dxa"/>
          </w:tblCellMar>
        </w:tblPrEx>
        <w:trPr>
          <w:trHeight w:val="454"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行政处罚</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8451（市级4251，县级最多4200）</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+289（市级+62，县级最多+227）</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2028484（市级1461455，县级合计567029）</w:t>
            </w:r>
          </w:p>
        </w:tc>
      </w:tr>
      <w:tr>
        <w:tblPrEx>
          <w:tblCellMar>
            <w:top w:w="0" w:type="dxa"/>
            <w:left w:w="108" w:type="dxa"/>
            <w:bottom w:w="0" w:type="dxa"/>
            <w:right w:w="108" w:type="dxa"/>
          </w:tblCellMar>
        </w:tblPrEx>
        <w:trPr>
          <w:trHeight w:val="519"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行政强制</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338（市级173，县级最多165）</w:t>
            </w:r>
          </w:p>
        </w:tc>
        <w:tc>
          <w:tcPr>
            <w:tcW w:w="193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-104（市级-32，县级最多-72）</w:t>
            </w:r>
          </w:p>
        </w:tc>
        <w:tc>
          <w:tcPr>
            <w:tcW w:w="297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28948（市级15110，县级合计13838）</w:t>
            </w:r>
          </w:p>
        </w:tc>
      </w:tr>
      <w:tr>
        <w:tblPrEx>
          <w:tblCellMar>
            <w:top w:w="0" w:type="dxa"/>
            <w:left w:w="108" w:type="dxa"/>
            <w:bottom w:w="0" w:type="dxa"/>
            <w:right w:w="108" w:type="dxa"/>
          </w:tblCellMar>
        </w:tblPrEx>
        <w:trPr>
          <w:trHeight w:val="639" w:hRule="atLeast"/>
          <w:jc w:val="center"/>
        </w:trPr>
        <w:tc>
          <w:tcPr>
            <w:tcW w:w="906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第二十条第（八）项</w:t>
            </w:r>
          </w:p>
        </w:tc>
      </w:tr>
      <w:tr>
        <w:tblPrEx>
          <w:tblCellMar>
            <w:top w:w="0" w:type="dxa"/>
            <w:left w:w="108" w:type="dxa"/>
            <w:bottom w:w="0" w:type="dxa"/>
            <w:right w:w="108" w:type="dxa"/>
          </w:tblCellMar>
        </w:tblPrEx>
        <w:trPr>
          <w:trHeight w:val="500"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信息内容</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上一年项目数量</w:t>
            </w:r>
          </w:p>
        </w:tc>
        <w:tc>
          <w:tcPr>
            <w:tcW w:w="491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本年增/减</w:t>
            </w:r>
          </w:p>
        </w:tc>
      </w:tr>
      <w:tr>
        <w:tblPrEx>
          <w:tblCellMar>
            <w:top w:w="0" w:type="dxa"/>
            <w:left w:w="108" w:type="dxa"/>
            <w:bottom w:w="0" w:type="dxa"/>
            <w:right w:w="108" w:type="dxa"/>
          </w:tblCellMar>
        </w:tblPrEx>
        <w:trPr>
          <w:trHeight w:val="610"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sz w:val="24"/>
              </w:rPr>
            </w:pPr>
            <w:r>
              <w:rPr>
                <w:rFonts w:hint="eastAsia" w:ascii="仿宋_GB2312" w:hAnsi="仿宋_GB2312" w:cs="仿宋_GB2312"/>
                <w:color w:val="000000"/>
                <w:kern w:val="0"/>
                <w:sz w:val="24"/>
              </w:rPr>
              <w:t>行政事业性收费</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sz w:val="24"/>
              </w:rPr>
            </w:pPr>
            <w:r>
              <w:rPr>
                <w:rFonts w:hint="eastAsia" w:ascii="仿宋_GB2312" w:hAnsi="仿宋_GB2312" w:cs="仿宋_GB2312"/>
                <w:color w:val="000000"/>
                <w:kern w:val="0"/>
                <w:sz w:val="24"/>
              </w:rPr>
              <w:t>126（市级50，县级最多76）</w:t>
            </w:r>
          </w:p>
        </w:tc>
        <w:tc>
          <w:tcPr>
            <w:tcW w:w="491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仿宋_GB2312" w:hAnsi="仿宋_GB2312" w:cs="仿宋_GB2312"/>
                <w:sz w:val="24"/>
              </w:rPr>
            </w:pPr>
            <w:r>
              <w:rPr>
                <w:rFonts w:hint="eastAsia" w:ascii="仿宋_GB2312" w:hAnsi="仿宋_GB2312" w:cs="仿宋_GB2312"/>
                <w:color w:val="000000"/>
                <w:kern w:val="0"/>
                <w:sz w:val="24"/>
              </w:rPr>
              <w:t>-7（市级-2，县级最多-5）</w:t>
            </w:r>
          </w:p>
        </w:tc>
      </w:tr>
      <w:tr>
        <w:tblPrEx>
          <w:tblCellMar>
            <w:top w:w="0" w:type="dxa"/>
            <w:left w:w="108" w:type="dxa"/>
            <w:bottom w:w="0" w:type="dxa"/>
            <w:right w:w="108" w:type="dxa"/>
          </w:tblCellMar>
        </w:tblPrEx>
        <w:trPr>
          <w:trHeight w:val="579" w:hRule="atLeast"/>
          <w:jc w:val="center"/>
        </w:trPr>
        <w:tc>
          <w:tcPr>
            <w:tcW w:w="906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第二十条第（九）项</w:t>
            </w:r>
          </w:p>
        </w:tc>
      </w:tr>
      <w:tr>
        <w:tblPrEx>
          <w:tblCellMar>
            <w:top w:w="0" w:type="dxa"/>
            <w:left w:w="108" w:type="dxa"/>
            <w:bottom w:w="0" w:type="dxa"/>
            <w:right w:w="108" w:type="dxa"/>
          </w:tblCellMar>
        </w:tblPrEx>
        <w:trPr>
          <w:trHeight w:val="465"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信息内容</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采购项目数量</w:t>
            </w:r>
          </w:p>
        </w:tc>
        <w:tc>
          <w:tcPr>
            <w:tcW w:w="491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黑体" w:hAnsi="黑体" w:eastAsia="黑体" w:cs="黑体"/>
                <w:color w:val="000000"/>
                <w:kern w:val="0"/>
                <w:sz w:val="24"/>
              </w:rPr>
            </w:pPr>
            <w:r>
              <w:rPr>
                <w:rFonts w:hint="eastAsia" w:ascii="黑体" w:hAnsi="黑体" w:eastAsia="黑体" w:cs="黑体"/>
                <w:color w:val="000000"/>
                <w:kern w:val="0"/>
                <w:sz w:val="24"/>
              </w:rPr>
              <w:t>采购总金额</w:t>
            </w:r>
          </w:p>
        </w:tc>
      </w:tr>
      <w:tr>
        <w:tblPrEx>
          <w:tblCellMar>
            <w:top w:w="0" w:type="dxa"/>
            <w:left w:w="108" w:type="dxa"/>
            <w:bottom w:w="0" w:type="dxa"/>
            <w:right w:w="108" w:type="dxa"/>
          </w:tblCellMar>
        </w:tblPrEx>
        <w:trPr>
          <w:trHeight w:val="454" w:hRule="atLeast"/>
          <w:jc w:val="center"/>
        </w:trPr>
        <w:tc>
          <w:tcPr>
            <w:tcW w:w="193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政府集中采购</w:t>
            </w:r>
          </w:p>
        </w:tc>
        <w:tc>
          <w:tcPr>
            <w:tcW w:w="221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4592（市级1081，县级3511）</w:t>
            </w:r>
          </w:p>
        </w:tc>
        <w:tc>
          <w:tcPr>
            <w:tcW w:w="491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106.61亿元（市级15.01亿元，县级合计91.5996亿元）</w:t>
            </w:r>
          </w:p>
        </w:tc>
      </w:tr>
    </w:tbl>
    <w:p>
      <w:pPr>
        <w:pStyle w:val="5"/>
        <w:spacing w:line="560" w:lineRule="exact"/>
        <w:ind w:firstLine="632" w:firstLineChars="200"/>
        <w:jc w:val="both"/>
        <w:rPr>
          <w:rFonts w:ascii="黑体" w:hAnsi="黑体" w:eastAsia="黑体" w:cs="黑体"/>
          <w:bCs/>
          <w:color w:val="000000"/>
          <w:sz w:val="32"/>
          <w:szCs w:val="32"/>
        </w:rPr>
      </w:pPr>
      <w:r>
        <w:rPr>
          <w:rFonts w:hint="eastAsia" w:ascii="黑体" w:hAnsi="黑体" w:eastAsia="黑体" w:cs="黑体"/>
          <w:bCs/>
          <w:color w:val="000000"/>
          <w:sz w:val="32"/>
          <w:szCs w:val="32"/>
        </w:rPr>
        <w:t>三、收到和处理政府信息公开申请情况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698"/>
        <w:gridCol w:w="2189"/>
        <w:gridCol w:w="931"/>
        <w:gridCol w:w="757"/>
        <w:gridCol w:w="765"/>
        <w:gridCol w:w="915"/>
        <w:gridCol w:w="90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jc w:val="center"/>
        </w:trPr>
        <w:tc>
          <w:tcPr>
            <w:tcW w:w="3381" w:type="dxa"/>
            <w:gridSpan w:val="3"/>
            <w:vMerge w:val="restart"/>
            <w:vAlign w:val="center"/>
          </w:tcPr>
          <w:p>
            <w:pPr>
              <w:adjustRightInd w:val="0"/>
              <w:snapToGrid w:val="0"/>
              <w:rPr>
                <w:rFonts w:ascii="黑体" w:eastAsia="黑体"/>
                <w:color w:val="000000"/>
                <w:sz w:val="24"/>
              </w:rPr>
            </w:pPr>
            <w:r>
              <w:rPr>
                <w:rFonts w:hint="eastAsia" w:ascii="黑体" w:eastAsia="黑体"/>
                <w:color w:val="000000"/>
                <w:sz w:val="24"/>
              </w:rPr>
              <w:t>（本列数据的勾稽关系为：第一项加第二项之和，等于第三项加第四项之和）</w:t>
            </w:r>
          </w:p>
        </w:tc>
        <w:tc>
          <w:tcPr>
            <w:tcW w:w="5690" w:type="dxa"/>
            <w:gridSpan w:val="7"/>
            <w:tcBorders>
              <w:left w:val="nil"/>
            </w:tcBorders>
            <w:vAlign w:val="center"/>
          </w:tcPr>
          <w:p>
            <w:pPr>
              <w:adjustRightInd w:val="0"/>
              <w:snapToGrid w:val="0"/>
              <w:jc w:val="center"/>
              <w:rPr>
                <w:rFonts w:ascii="黑体" w:eastAsia="黑体"/>
                <w:color w:val="000000"/>
                <w:sz w:val="24"/>
              </w:rPr>
            </w:pPr>
            <w:r>
              <w:rPr>
                <w:rFonts w:hint="eastAsia" w:ascii="黑体" w:eastAsia="黑体"/>
                <w:color w:val="000000"/>
                <w:sz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blHeader/>
          <w:jc w:val="center"/>
        </w:trPr>
        <w:tc>
          <w:tcPr>
            <w:tcW w:w="3381" w:type="dxa"/>
            <w:gridSpan w:val="3"/>
            <w:vMerge w:val="continue"/>
            <w:vAlign w:val="center"/>
          </w:tcPr>
          <w:p>
            <w:pPr>
              <w:adjustRightInd w:val="0"/>
              <w:snapToGrid w:val="0"/>
              <w:jc w:val="left"/>
              <w:rPr>
                <w:rFonts w:ascii="黑体" w:hAnsi="宋体" w:eastAsia="黑体" w:cs="宋体"/>
                <w:color w:val="000000"/>
                <w:sz w:val="24"/>
              </w:rPr>
            </w:pPr>
          </w:p>
        </w:tc>
        <w:tc>
          <w:tcPr>
            <w:tcW w:w="931" w:type="dxa"/>
            <w:vMerge w:val="restart"/>
            <w:tcBorders>
              <w:top w:val="nil"/>
              <w:left w:val="nil"/>
            </w:tcBorders>
            <w:vAlign w:val="center"/>
          </w:tcPr>
          <w:p>
            <w:pPr>
              <w:adjustRightInd w:val="0"/>
              <w:snapToGrid w:val="0"/>
              <w:jc w:val="center"/>
              <w:rPr>
                <w:rFonts w:ascii="黑体" w:eastAsia="黑体"/>
                <w:color w:val="000000"/>
                <w:sz w:val="24"/>
              </w:rPr>
            </w:pPr>
            <w:r>
              <w:rPr>
                <w:rFonts w:hint="eastAsia" w:ascii="黑体" w:eastAsia="黑体"/>
                <w:color w:val="000000"/>
                <w:sz w:val="24"/>
              </w:rPr>
              <w:t>自然人</w:t>
            </w:r>
          </w:p>
        </w:tc>
        <w:tc>
          <w:tcPr>
            <w:tcW w:w="4057" w:type="dxa"/>
            <w:gridSpan w:val="5"/>
            <w:tcBorders>
              <w:left w:val="nil"/>
            </w:tcBorders>
            <w:vAlign w:val="center"/>
          </w:tcPr>
          <w:p>
            <w:pPr>
              <w:adjustRightInd w:val="0"/>
              <w:snapToGrid w:val="0"/>
              <w:jc w:val="center"/>
              <w:rPr>
                <w:rFonts w:ascii="黑体" w:eastAsia="黑体"/>
                <w:color w:val="000000"/>
                <w:sz w:val="24"/>
              </w:rPr>
            </w:pPr>
            <w:r>
              <w:rPr>
                <w:rFonts w:hint="eastAsia" w:ascii="黑体" w:eastAsia="黑体"/>
                <w:color w:val="000000"/>
                <w:sz w:val="24"/>
              </w:rPr>
              <w:t>法人或其他组织</w:t>
            </w:r>
          </w:p>
        </w:tc>
        <w:tc>
          <w:tcPr>
            <w:tcW w:w="702" w:type="dxa"/>
            <w:vMerge w:val="restart"/>
            <w:tcBorders>
              <w:left w:val="nil"/>
            </w:tcBorders>
            <w:vAlign w:val="center"/>
          </w:tcPr>
          <w:p>
            <w:pPr>
              <w:adjustRightInd w:val="0"/>
              <w:snapToGrid w:val="0"/>
              <w:jc w:val="center"/>
              <w:rPr>
                <w:rFonts w:ascii="黑体" w:eastAsia="黑体"/>
                <w:color w:val="000000"/>
                <w:sz w:val="24"/>
              </w:rPr>
            </w:pPr>
            <w:r>
              <w:rPr>
                <w:rFonts w:hint="eastAsia" w:ascii="黑体" w:eastAsia="黑体"/>
                <w:color w:val="000000"/>
                <w:sz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381" w:type="dxa"/>
            <w:gridSpan w:val="3"/>
            <w:vMerge w:val="continue"/>
            <w:vAlign w:val="center"/>
          </w:tcPr>
          <w:p>
            <w:pPr>
              <w:adjustRightInd w:val="0"/>
              <w:snapToGrid w:val="0"/>
              <w:jc w:val="left"/>
              <w:rPr>
                <w:rFonts w:ascii="黑体" w:hAnsi="宋体" w:eastAsia="黑体" w:cs="宋体"/>
                <w:color w:val="000000"/>
                <w:sz w:val="24"/>
              </w:rPr>
            </w:pPr>
          </w:p>
        </w:tc>
        <w:tc>
          <w:tcPr>
            <w:tcW w:w="931" w:type="dxa"/>
            <w:vMerge w:val="continue"/>
            <w:tcBorders>
              <w:top w:val="nil"/>
              <w:left w:val="nil"/>
            </w:tcBorders>
            <w:vAlign w:val="center"/>
          </w:tcPr>
          <w:p>
            <w:pPr>
              <w:adjustRightInd w:val="0"/>
              <w:snapToGrid w:val="0"/>
              <w:jc w:val="left"/>
              <w:rPr>
                <w:rFonts w:ascii="黑体" w:hAnsi="宋体" w:eastAsia="黑体" w:cs="宋体"/>
                <w:color w:val="000000"/>
                <w:sz w:val="24"/>
              </w:rPr>
            </w:pPr>
          </w:p>
        </w:tc>
        <w:tc>
          <w:tcPr>
            <w:tcW w:w="757" w:type="dxa"/>
            <w:tcBorders>
              <w:left w:val="nil"/>
            </w:tcBorders>
            <w:vAlign w:val="center"/>
          </w:tcPr>
          <w:p>
            <w:pPr>
              <w:adjustRightInd w:val="0"/>
              <w:snapToGrid w:val="0"/>
              <w:jc w:val="center"/>
              <w:rPr>
                <w:rFonts w:ascii="黑体" w:eastAsia="黑体"/>
                <w:color w:val="000000"/>
                <w:sz w:val="24"/>
              </w:rPr>
            </w:pPr>
            <w:r>
              <w:rPr>
                <w:rFonts w:hint="eastAsia" w:ascii="黑体" w:eastAsia="黑体"/>
                <w:color w:val="000000"/>
                <w:sz w:val="24"/>
              </w:rPr>
              <w:t>商业企业</w:t>
            </w:r>
          </w:p>
        </w:tc>
        <w:tc>
          <w:tcPr>
            <w:tcW w:w="765" w:type="dxa"/>
            <w:tcBorders>
              <w:left w:val="nil"/>
            </w:tcBorders>
            <w:vAlign w:val="center"/>
          </w:tcPr>
          <w:p>
            <w:pPr>
              <w:adjustRightInd w:val="0"/>
              <w:snapToGrid w:val="0"/>
              <w:jc w:val="center"/>
              <w:rPr>
                <w:rFonts w:ascii="黑体" w:eastAsia="黑体"/>
                <w:color w:val="000000"/>
                <w:sz w:val="24"/>
              </w:rPr>
            </w:pPr>
            <w:r>
              <w:rPr>
                <w:rFonts w:hint="eastAsia" w:ascii="黑体" w:eastAsia="黑体"/>
                <w:color w:val="000000"/>
                <w:sz w:val="24"/>
              </w:rPr>
              <w:t>科研机构</w:t>
            </w:r>
          </w:p>
        </w:tc>
        <w:tc>
          <w:tcPr>
            <w:tcW w:w="915" w:type="dxa"/>
            <w:tcBorders>
              <w:left w:val="nil"/>
            </w:tcBorders>
            <w:vAlign w:val="center"/>
          </w:tcPr>
          <w:p>
            <w:pPr>
              <w:adjustRightInd w:val="0"/>
              <w:snapToGrid w:val="0"/>
              <w:ind w:left="-94" w:leftChars="-30" w:right="-94" w:rightChars="-30"/>
              <w:jc w:val="center"/>
              <w:rPr>
                <w:rFonts w:ascii="黑体" w:eastAsia="黑体"/>
                <w:color w:val="000000"/>
                <w:sz w:val="24"/>
              </w:rPr>
            </w:pPr>
            <w:r>
              <w:rPr>
                <w:rFonts w:hint="eastAsia" w:ascii="黑体" w:eastAsia="黑体"/>
                <w:color w:val="000000"/>
                <w:sz w:val="24"/>
              </w:rPr>
              <w:t>社会公益组织</w:t>
            </w:r>
          </w:p>
        </w:tc>
        <w:tc>
          <w:tcPr>
            <w:tcW w:w="900" w:type="dxa"/>
            <w:tcBorders>
              <w:left w:val="nil"/>
            </w:tcBorders>
            <w:vAlign w:val="center"/>
          </w:tcPr>
          <w:p>
            <w:pPr>
              <w:adjustRightInd w:val="0"/>
              <w:snapToGrid w:val="0"/>
              <w:ind w:left="-94" w:leftChars="-30" w:right="-94" w:rightChars="-30"/>
              <w:jc w:val="center"/>
              <w:rPr>
                <w:rFonts w:ascii="黑体" w:eastAsia="黑体"/>
                <w:color w:val="000000"/>
                <w:sz w:val="24"/>
              </w:rPr>
            </w:pPr>
            <w:r>
              <w:rPr>
                <w:rFonts w:hint="eastAsia" w:ascii="黑体" w:eastAsia="黑体"/>
                <w:color w:val="000000"/>
                <w:sz w:val="24"/>
              </w:rPr>
              <w:t>法律服务机构</w:t>
            </w:r>
          </w:p>
        </w:tc>
        <w:tc>
          <w:tcPr>
            <w:tcW w:w="720" w:type="dxa"/>
            <w:tcBorders>
              <w:left w:val="nil"/>
            </w:tcBorders>
            <w:vAlign w:val="center"/>
          </w:tcPr>
          <w:p>
            <w:pPr>
              <w:adjustRightInd w:val="0"/>
              <w:snapToGrid w:val="0"/>
              <w:jc w:val="center"/>
              <w:rPr>
                <w:rFonts w:ascii="黑体" w:eastAsia="黑体"/>
                <w:color w:val="000000"/>
                <w:sz w:val="24"/>
              </w:rPr>
            </w:pPr>
            <w:r>
              <w:rPr>
                <w:rFonts w:hint="eastAsia" w:ascii="黑体" w:eastAsia="黑体"/>
                <w:color w:val="000000"/>
                <w:sz w:val="24"/>
              </w:rPr>
              <w:t>其他</w:t>
            </w:r>
          </w:p>
        </w:tc>
        <w:tc>
          <w:tcPr>
            <w:tcW w:w="702" w:type="dxa"/>
            <w:vMerge w:val="continue"/>
            <w:tcBorders>
              <w:left w:val="nil"/>
            </w:tcBorders>
            <w:vAlign w:val="center"/>
          </w:tcPr>
          <w:p>
            <w:pPr>
              <w:adjustRightInd w:val="0"/>
              <w:snapToGrid w:val="0"/>
              <w:jc w:val="left"/>
              <w:rPr>
                <w:rFonts w:ascii="仿宋_GB2312"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1" w:type="dxa"/>
            <w:gridSpan w:val="3"/>
            <w:vAlign w:val="center"/>
          </w:tcPr>
          <w:p>
            <w:pPr>
              <w:adjustRightInd w:val="0"/>
              <w:snapToGrid w:val="0"/>
              <w:jc w:val="left"/>
              <w:rPr>
                <w:rFonts w:ascii="仿宋_GB2312"/>
                <w:color w:val="000000"/>
                <w:sz w:val="24"/>
              </w:rPr>
            </w:pPr>
            <w:r>
              <w:rPr>
                <w:rFonts w:hint="eastAsia" w:ascii="仿宋_GB2312"/>
                <w:color w:val="000000"/>
                <w:sz w:val="24"/>
              </w:rPr>
              <w:t>一、本年新收政府信息公开申请数量</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1445</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84</w:t>
            </w:r>
          </w:p>
        </w:tc>
        <w:tc>
          <w:tcPr>
            <w:tcW w:w="76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10</w:t>
            </w:r>
          </w:p>
        </w:tc>
        <w:tc>
          <w:tcPr>
            <w:tcW w:w="91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12</w:t>
            </w:r>
          </w:p>
        </w:tc>
        <w:tc>
          <w:tcPr>
            <w:tcW w:w="90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6</w:t>
            </w:r>
          </w:p>
        </w:tc>
        <w:tc>
          <w:tcPr>
            <w:tcW w:w="72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6</w:t>
            </w: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1" w:type="dxa"/>
            <w:gridSpan w:val="3"/>
            <w:vAlign w:val="center"/>
          </w:tcPr>
          <w:p>
            <w:pPr>
              <w:adjustRightInd w:val="0"/>
              <w:snapToGrid w:val="0"/>
              <w:jc w:val="left"/>
              <w:rPr>
                <w:rFonts w:ascii="仿宋_GB2312"/>
                <w:color w:val="000000"/>
                <w:sz w:val="24"/>
              </w:rPr>
            </w:pPr>
            <w:r>
              <w:rPr>
                <w:rFonts w:hint="eastAsia" w:ascii="仿宋_GB2312"/>
                <w:color w:val="000000"/>
                <w:sz w:val="24"/>
              </w:rPr>
              <w:t>二、上年结转政府信息公开申请数量</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9</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94" w:type="dxa"/>
            <w:vMerge w:val="restart"/>
            <w:tcBorders>
              <w:top w:val="nil"/>
            </w:tcBorders>
            <w:vAlign w:val="center"/>
          </w:tcPr>
          <w:p>
            <w:pPr>
              <w:adjustRightInd w:val="0"/>
              <w:snapToGrid w:val="0"/>
              <w:jc w:val="center"/>
              <w:rPr>
                <w:rFonts w:ascii="仿宋_GB2312"/>
                <w:color w:val="000000"/>
                <w:sz w:val="24"/>
              </w:rPr>
            </w:pPr>
            <w:r>
              <w:rPr>
                <w:rFonts w:hint="eastAsia" w:ascii="仿宋_GB2312"/>
                <w:color w:val="000000"/>
                <w:sz w:val="24"/>
              </w:rPr>
              <w:t>三、本年度办理结果</w:t>
            </w:r>
          </w:p>
        </w:tc>
        <w:tc>
          <w:tcPr>
            <w:tcW w:w="2887" w:type="dxa"/>
            <w:gridSpan w:val="2"/>
            <w:tcBorders>
              <w:left w:val="nil"/>
            </w:tcBorders>
            <w:vAlign w:val="center"/>
          </w:tcPr>
          <w:p>
            <w:pPr>
              <w:adjustRightInd w:val="0"/>
              <w:snapToGrid w:val="0"/>
              <w:jc w:val="left"/>
              <w:rPr>
                <w:rFonts w:ascii="仿宋_GB2312"/>
                <w:color w:val="000000"/>
                <w:sz w:val="24"/>
              </w:rPr>
            </w:pPr>
            <w:r>
              <w:rPr>
                <w:rFonts w:hint="eastAsia" w:ascii="仿宋_GB2312" w:hAnsi="楷体" w:cs="楷体"/>
                <w:color w:val="000000"/>
                <w:sz w:val="24"/>
              </w:rPr>
              <w:t>（一）予以公开</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768</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30</w:t>
            </w:r>
          </w:p>
        </w:tc>
        <w:tc>
          <w:tcPr>
            <w:tcW w:w="76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6</w:t>
            </w:r>
          </w:p>
        </w:tc>
        <w:tc>
          <w:tcPr>
            <w:tcW w:w="91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8</w:t>
            </w:r>
          </w:p>
        </w:tc>
        <w:tc>
          <w:tcPr>
            <w:tcW w:w="90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72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814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2887" w:type="dxa"/>
            <w:gridSpan w:val="2"/>
            <w:tcBorders>
              <w:left w:val="nil"/>
            </w:tcBorders>
            <w:vAlign w:val="center"/>
          </w:tcPr>
          <w:p>
            <w:pPr>
              <w:adjustRightInd w:val="0"/>
              <w:snapToGrid w:val="0"/>
              <w:jc w:val="left"/>
              <w:rPr>
                <w:rFonts w:ascii="仿宋_GB2312"/>
                <w:color w:val="000000"/>
                <w:sz w:val="24"/>
              </w:rPr>
            </w:pPr>
            <w:r>
              <w:rPr>
                <w:rFonts w:hint="eastAsia" w:ascii="仿宋_GB2312" w:hAnsi="楷体" w:cs="楷体"/>
                <w:color w:val="000000"/>
                <w:sz w:val="24"/>
              </w:rPr>
              <w:t>（二）部分公开（区分处理的，只计这一情形，不计其他情形）</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283</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12</w:t>
            </w:r>
          </w:p>
        </w:tc>
        <w:tc>
          <w:tcPr>
            <w:tcW w:w="76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91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w:t>
            </w:r>
          </w:p>
        </w:tc>
        <w:tc>
          <w:tcPr>
            <w:tcW w:w="90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3</w:t>
            </w:r>
          </w:p>
        </w:tc>
        <w:tc>
          <w:tcPr>
            <w:tcW w:w="72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restart"/>
            <w:tcBorders>
              <w:top w:val="nil"/>
              <w:left w:val="nil"/>
            </w:tcBorders>
            <w:vAlign w:val="center"/>
          </w:tcPr>
          <w:p>
            <w:pPr>
              <w:adjustRightInd w:val="0"/>
              <w:snapToGrid w:val="0"/>
              <w:jc w:val="left"/>
              <w:rPr>
                <w:rFonts w:ascii="仿宋_GB2312" w:hAnsi="楷体" w:cs="楷体"/>
                <w:color w:val="000000"/>
                <w:sz w:val="24"/>
              </w:rPr>
            </w:pPr>
            <w:r>
              <w:rPr>
                <w:rFonts w:ascii="仿宋_GB2312" w:hAnsi="楷体" w:cs="楷体"/>
                <w:color w:val="000000"/>
                <w:sz w:val="24"/>
              </w:rPr>
              <w:t>(</w:t>
            </w:r>
            <w:r>
              <w:rPr>
                <w:rFonts w:hint="eastAsia" w:ascii="仿宋_GB2312" w:hAnsi="楷体" w:cs="楷体"/>
                <w:color w:val="000000"/>
                <w:sz w:val="24"/>
              </w:rPr>
              <w:t>三</w:t>
            </w:r>
            <w:r>
              <w:rPr>
                <w:rFonts w:ascii="仿宋_GB2312" w:hAnsi="楷体" w:cs="楷体"/>
                <w:color w:val="000000"/>
                <w:sz w:val="24"/>
              </w:rPr>
              <w:t>)</w:t>
            </w:r>
          </w:p>
          <w:p>
            <w:pPr>
              <w:adjustRightInd w:val="0"/>
              <w:snapToGrid w:val="0"/>
              <w:jc w:val="left"/>
              <w:rPr>
                <w:rFonts w:ascii="仿宋_GB2312"/>
                <w:color w:val="000000"/>
                <w:sz w:val="24"/>
              </w:rPr>
            </w:pPr>
            <w:r>
              <w:rPr>
                <w:rFonts w:hint="eastAsia" w:ascii="仿宋_GB2312" w:hAnsi="楷体" w:cs="楷体"/>
                <w:color w:val="000000"/>
                <w:sz w:val="24"/>
              </w:rPr>
              <w:t>不予公开</w:t>
            </w: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1.</w:t>
            </w:r>
            <w:r>
              <w:rPr>
                <w:rFonts w:hint="eastAsia" w:ascii="仿宋_GB2312" w:hAnsi="楷体" w:cs="楷体"/>
                <w:color w:val="000000"/>
                <w:sz w:val="24"/>
              </w:rPr>
              <w:t>属于国家秘密</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3</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2.</w:t>
            </w:r>
            <w:r>
              <w:rPr>
                <w:rFonts w:hint="eastAsia" w:ascii="仿宋_GB2312" w:hAnsi="楷体" w:cs="楷体"/>
                <w:color w:val="000000"/>
                <w:sz w:val="24"/>
              </w:rPr>
              <w:t>其他法律行政法规禁止公开</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14</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w:t>
            </w: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hAnsi="楷体" w:cs="楷体"/>
                <w:color w:val="000000"/>
                <w:sz w:val="24"/>
              </w:rPr>
            </w:pPr>
            <w:r>
              <w:rPr>
                <w:rFonts w:ascii="仿宋_GB2312" w:hAnsi="楷体" w:cs="楷体"/>
                <w:color w:val="000000"/>
                <w:sz w:val="24"/>
              </w:rPr>
              <w:t>3.</w:t>
            </w:r>
            <w:r>
              <w:rPr>
                <w:rFonts w:hint="eastAsia" w:ascii="仿宋_GB2312" w:hAnsi="楷体" w:cs="楷体"/>
                <w:color w:val="000000"/>
                <w:sz w:val="24"/>
              </w:rPr>
              <w:t>危</w:t>
            </w:r>
            <w:r>
              <w:rPr>
                <w:rFonts w:hint="eastAsia" w:ascii="仿宋_GB2312" w:hAnsi="楷体" w:cs="楷体"/>
                <w:color w:val="000000"/>
                <w:spacing w:val="-16"/>
                <w:sz w:val="24"/>
              </w:rPr>
              <w:t>及“三安全一稳定”</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4</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4.</w:t>
            </w:r>
            <w:r>
              <w:rPr>
                <w:rFonts w:hint="eastAsia" w:ascii="仿宋_GB2312" w:hAnsi="楷体" w:cs="楷体"/>
                <w:color w:val="000000"/>
                <w:sz w:val="24"/>
              </w:rPr>
              <w:t>保</w:t>
            </w:r>
            <w:r>
              <w:rPr>
                <w:rFonts w:hint="eastAsia" w:ascii="仿宋_GB2312" w:hAnsi="楷体" w:cs="楷体"/>
                <w:color w:val="000000"/>
                <w:spacing w:val="-20"/>
                <w:sz w:val="24"/>
              </w:rPr>
              <w:t>护第三方合法权益</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17</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4</w:t>
            </w: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5.</w:t>
            </w:r>
            <w:r>
              <w:rPr>
                <w:rFonts w:hint="eastAsia" w:ascii="仿宋_GB2312" w:hAnsi="楷体" w:cs="楷体"/>
                <w:color w:val="000000"/>
                <w:sz w:val="24"/>
              </w:rPr>
              <w:t>属于三类内部事务信息</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20</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6.</w:t>
            </w:r>
            <w:r>
              <w:rPr>
                <w:rFonts w:hint="eastAsia" w:ascii="仿宋_GB2312" w:hAnsi="楷体" w:cs="楷体"/>
                <w:color w:val="000000"/>
                <w:sz w:val="24"/>
              </w:rPr>
              <w:t>属</w:t>
            </w:r>
            <w:r>
              <w:rPr>
                <w:rFonts w:hint="eastAsia" w:ascii="仿宋_GB2312" w:hAnsi="楷体" w:cs="楷体"/>
                <w:color w:val="000000"/>
                <w:spacing w:val="-18"/>
                <w:sz w:val="24"/>
              </w:rPr>
              <w:t>于四类过程性信息</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4</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7.</w:t>
            </w:r>
            <w:r>
              <w:rPr>
                <w:rFonts w:hint="eastAsia" w:ascii="仿宋_GB2312" w:hAnsi="楷体" w:cs="楷体"/>
                <w:color w:val="000000"/>
                <w:sz w:val="24"/>
              </w:rPr>
              <w:t>属</w:t>
            </w:r>
            <w:r>
              <w:rPr>
                <w:rFonts w:hint="eastAsia" w:ascii="仿宋_GB2312" w:hAnsi="楷体" w:cs="楷体"/>
                <w:color w:val="000000"/>
                <w:spacing w:val="-16"/>
                <w:sz w:val="24"/>
              </w:rPr>
              <w:t>于行政执法案卷</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15</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8.</w:t>
            </w:r>
            <w:r>
              <w:rPr>
                <w:rFonts w:hint="eastAsia" w:ascii="仿宋_GB2312" w:hAnsi="楷体" w:cs="楷体"/>
                <w:color w:val="000000"/>
                <w:sz w:val="24"/>
              </w:rPr>
              <w:t>属</w:t>
            </w:r>
            <w:r>
              <w:rPr>
                <w:rFonts w:hint="eastAsia" w:ascii="仿宋_GB2312" w:hAnsi="楷体" w:cs="楷体"/>
                <w:color w:val="000000"/>
                <w:spacing w:val="-16"/>
                <w:sz w:val="24"/>
              </w:rPr>
              <w:t>于行政查询事项</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14</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restart"/>
            <w:tcBorders>
              <w:top w:val="nil"/>
              <w:left w:val="nil"/>
            </w:tcBorders>
            <w:vAlign w:val="center"/>
          </w:tcPr>
          <w:p>
            <w:pPr>
              <w:adjustRightInd w:val="0"/>
              <w:snapToGrid w:val="0"/>
              <w:jc w:val="left"/>
              <w:rPr>
                <w:rFonts w:ascii="仿宋_GB2312"/>
                <w:color w:val="000000"/>
                <w:sz w:val="24"/>
              </w:rPr>
            </w:pPr>
            <w:r>
              <w:rPr>
                <w:rFonts w:ascii="仿宋_GB2312" w:hAnsi="楷体" w:cs="楷体"/>
                <w:color w:val="000000"/>
                <w:sz w:val="24"/>
              </w:rPr>
              <w:t>(</w:t>
            </w:r>
            <w:r>
              <w:rPr>
                <w:rFonts w:hint="eastAsia" w:ascii="仿宋_GB2312" w:hAnsi="楷体" w:cs="楷体"/>
                <w:color w:val="000000"/>
                <w:sz w:val="24"/>
              </w:rPr>
              <w:t>四</w:t>
            </w:r>
            <w:r>
              <w:rPr>
                <w:rFonts w:ascii="仿宋_GB2312" w:hAnsi="楷体" w:cs="楷体"/>
                <w:color w:val="000000"/>
                <w:sz w:val="24"/>
              </w:rPr>
              <w:t>)</w:t>
            </w:r>
            <w:r>
              <w:rPr>
                <w:rFonts w:hint="eastAsia" w:ascii="仿宋_GB2312" w:hAnsi="楷体" w:cs="楷体"/>
                <w:color w:val="000000"/>
                <w:sz w:val="24"/>
              </w:rPr>
              <w:t>无法提供</w:t>
            </w: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1.</w:t>
            </w:r>
            <w:r>
              <w:rPr>
                <w:rFonts w:hint="eastAsia" w:ascii="仿宋_GB2312" w:hAnsi="楷体" w:cs="楷体"/>
                <w:color w:val="000000"/>
                <w:sz w:val="24"/>
              </w:rPr>
              <w:t>本机关不掌握相关政府信息</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232</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20</w:t>
            </w:r>
          </w:p>
        </w:tc>
        <w:tc>
          <w:tcPr>
            <w:tcW w:w="76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w:t>
            </w:r>
          </w:p>
        </w:tc>
        <w:tc>
          <w:tcPr>
            <w:tcW w:w="91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90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w:t>
            </w:r>
          </w:p>
        </w:tc>
        <w:tc>
          <w:tcPr>
            <w:tcW w:w="72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3</w:t>
            </w: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2.</w:t>
            </w:r>
            <w:r>
              <w:rPr>
                <w:rFonts w:hint="eastAsia" w:ascii="仿宋_GB2312" w:hAnsi="楷体" w:cs="楷体"/>
                <w:color w:val="000000"/>
                <w:sz w:val="24"/>
              </w:rPr>
              <w:t>没有现成信息需要另行制作</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20</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14</w:t>
            </w: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3.</w:t>
            </w:r>
            <w:r>
              <w:rPr>
                <w:rFonts w:hint="eastAsia" w:ascii="仿宋_GB2312" w:hAnsi="楷体" w:cs="楷体"/>
                <w:color w:val="000000"/>
                <w:sz w:val="24"/>
              </w:rPr>
              <w:t>补正后申请内容仍不明确</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7</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restart"/>
            <w:tcBorders>
              <w:top w:val="nil"/>
              <w:left w:val="nil"/>
            </w:tcBorders>
            <w:vAlign w:val="center"/>
          </w:tcPr>
          <w:p>
            <w:pPr>
              <w:adjustRightInd w:val="0"/>
              <w:snapToGrid w:val="0"/>
              <w:jc w:val="left"/>
              <w:rPr>
                <w:rFonts w:ascii="仿宋_GB2312"/>
                <w:color w:val="000000"/>
                <w:sz w:val="24"/>
              </w:rPr>
            </w:pPr>
            <w:r>
              <w:rPr>
                <w:rFonts w:ascii="仿宋_GB2312" w:hAnsi="楷体" w:cs="楷体"/>
                <w:color w:val="000000"/>
                <w:sz w:val="24"/>
              </w:rPr>
              <w:t>(</w:t>
            </w:r>
            <w:r>
              <w:rPr>
                <w:rFonts w:hint="eastAsia" w:ascii="仿宋_GB2312" w:hAnsi="楷体" w:cs="楷体"/>
                <w:color w:val="000000"/>
                <w:sz w:val="24"/>
              </w:rPr>
              <w:t>五</w:t>
            </w:r>
            <w:r>
              <w:rPr>
                <w:rFonts w:ascii="仿宋_GB2312" w:hAnsi="楷体" w:cs="楷体"/>
                <w:color w:val="000000"/>
                <w:sz w:val="24"/>
              </w:rPr>
              <w:t>)</w:t>
            </w:r>
            <w:r>
              <w:rPr>
                <w:rFonts w:hint="eastAsia" w:ascii="仿宋_GB2312" w:hAnsi="楷体" w:cs="楷体"/>
                <w:color w:val="000000"/>
                <w:sz w:val="24"/>
              </w:rPr>
              <w:t>不予处理</w:t>
            </w: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1.</w:t>
            </w:r>
            <w:r>
              <w:rPr>
                <w:rFonts w:hint="eastAsia" w:ascii="仿宋_GB2312" w:hAnsi="楷体" w:cs="楷体"/>
                <w:color w:val="000000"/>
                <w:spacing w:val="-20"/>
                <w:sz w:val="24"/>
              </w:rPr>
              <w:t>信访举报投诉类申请</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2.</w:t>
            </w:r>
            <w:r>
              <w:rPr>
                <w:rFonts w:hint="eastAsia" w:ascii="仿宋_GB2312" w:hAnsi="楷体" w:cs="楷体"/>
                <w:color w:val="000000"/>
                <w:sz w:val="24"/>
              </w:rPr>
              <w:t>重复申请</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17</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pacing w:val="-18"/>
                <w:sz w:val="24"/>
              </w:rPr>
            </w:pPr>
            <w:r>
              <w:rPr>
                <w:rFonts w:ascii="仿宋_GB2312" w:hAnsi="楷体" w:cs="楷体"/>
                <w:color w:val="000000"/>
                <w:spacing w:val="-18"/>
                <w:sz w:val="24"/>
              </w:rPr>
              <w:t>3.</w:t>
            </w:r>
            <w:r>
              <w:rPr>
                <w:rFonts w:hint="eastAsia" w:ascii="仿宋_GB2312" w:hAnsi="楷体" w:cs="楷体"/>
                <w:color w:val="000000"/>
                <w:spacing w:val="-18"/>
                <w:sz w:val="24"/>
              </w:rPr>
              <w:t>要求提供公开出版物</w:t>
            </w:r>
          </w:p>
        </w:tc>
        <w:tc>
          <w:tcPr>
            <w:tcW w:w="931" w:type="dxa"/>
            <w:tcBorders>
              <w:left w:val="nil"/>
            </w:tcBorders>
            <w:vAlign w:val="center"/>
          </w:tcPr>
          <w:p>
            <w:pPr>
              <w:jc w:val="center"/>
              <w:rPr>
                <w:rFonts w:ascii="仿宋_GB2312"/>
                <w:color w:val="000000"/>
                <w:sz w:val="24"/>
              </w:rPr>
            </w:pP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4.</w:t>
            </w:r>
            <w:r>
              <w:rPr>
                <w:rFonts w:hint="eastAsia" w:ascii="仿宋_GB2312" w:hAnsi="楷体" w:cs="楷体"/>
                <w:color w:val="000000"/>
                <w:sz w:val="24"/>
              </w:rPr>
              <w:t>无正当理由大量反复申请</w:t>
            </w:r>
          </w:p>
        </w:tc>
        <w:tc>
          <w:tcPr>
            <w:tcW w:w="931" w:type="dxa"/>
            <w:tcBorders>
              <w:left w:val="nil"/>
            </w:tcBorders>
            <w:vAlign w:val="center"/>
          </w:tcPr>
          <w:p>
            <w:pPr>
              <w:jc w:val="center"/>
              <w:rPr>
                <w:rFonts w:ascii="仿宋_GB2312"/>
                <w:color w:val="000000"/>
                <w:sz w:val="24"/>
              </w:rPr>
            </w:pP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698" w:type="dxa"/>
            <w:vMerge w:val="continue"/>
            <w:tcBorders>
              <w:top w:val="nil"/>
              <w:left w:val="nil"/>
            </w:tcBorders>
            <w:vAlign w:val="center"/>
          </w:tcPr>
          <w:p>
            <w:pPr>
              <w:adjustRightInd w:val="0"/>
              <w:snapToGrid w:val="0"/>
              <w:jc w:val="left"/>
              <w:rPr>
                <w:rFonts w:ascii="仿宋_GB2312" w:hAnsi="宋体" w:cs="宋体"/>
                <w:color w:val="000000"/>
                <w:sz w:val="24"/>
              </w:rPr>
            </w:pPr>
          </w:p>
        </w:tc>
        <w:tc>
          <w:tcPr>
            <w:tcW w:w="2189" w:type="dxa"/>
            <w:tcBorders>
              <w:left w:val="nil"/>
            </w:tcBorders>
            <w:vAlign w:val="center"/>
          </w:tcPr>
          <w:p>
            <w:pPr>
              <w:adjustRightInd w:val="0"/>
              <w:snapToGrid w:val="0"/>
              <w:ind w:left="-94" w:leftChars="-30" w:right="-94" w:rightChars="-30"/>
              <w:jc w:val="left"/>
              <w:rPr>
                <w:rFonts w:ascii="仿宋_GB2312"/>
                <w:color w:val="000000"/>
                <w:sz w:val="24"/>
              </w:rPr>
            </w:pPr>
            <w:r>
              <w:rPr>
                <w:rFonts w:ascii="仿宋_GB2312" w:hAnsi="楷体" w:cs="楷体"/>
                <w:color w:val="000000"/>
                <w:sz w:val="24"/>
              </w:rPr>
              <w:t>5.</w:t>
            </w:r>
            <w:r>
              <w:rPr>
                <w:rFonts w:hint="eastAsia" w:ascii="仿宋_GB2312" w:hAnsi="楷体" w:cs="楷体"/>
                <w:color w:val="000000"/>
                <w:sz w:val="24"/>
              </w:rPr>
              <w:t>要</w:t>
            </w:r>
            <w:r>
              <w:rPr>
                <w:rFonts w:hint="eastAsia" w:ascii="仿宋_GB2312" w:hAnsi="楷体" w:cs="楷体"/>
                <w:color w:val="000000"/>
                <w:spacing w:val="-12"/>
                <w:sz w:val="24"/>
              </w:rPr>
              <w:t>求行政机关确认或重新出具已获取信息</w:t>
            </w:r>
          </w:p>
        </w:tc>
        <w:tc>
          <w:tcPr>
            <w:tcW w:w="931" w:type="dxa"/>
            <w:tcBorders>
              <w:left w:val="nil"/>
            </w:tcBorders>
            <w:vAlign w:val="center"/>
          </w:tcPr>
          <w:p>
            <w:pPr>
              <w:jc w:val="center"/>
              <w:rPr>
                <w:rFonts w:ascii="仿宋_GB2312"/>
                <w:color w:val="000000"/>
                <w:sz w:val="24"/>
              </w:rPr>
            </w:pP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2887" w:type="dxa"/>
            <w:gridSpan w:val="2"/>
            <w:tcBorders>
              <w:left w:val="nil"/>
            </w:tcBorders>
            <w:vAlign w:val="center"/>
          </w:tcPr>
          <w:p>
            <w:pPr>
              <w:adjustRightInd w:val="0"/>
              <w:snapToGrid w:val="0"/>
              <w:jc w:val="left"/>
              <w:rPr>
                <w:rFonts w:ascii="仿宋_GB2312"/>
                <w:color w:val="000000"/>
                <w:sz w:val="24"/>
              </w:rPr>
            </w:pPr>
            <w:r>
              <w:rPr>
                <w:rFonts w:hint="eastAsia" w:ascii="仿宋_GB2312" w:hAnsi="楷体" w:cs="楷体"/>
                <w:color w:val="000000"/>
                <w:sz w:val="24"/>
              </w:rPr>
              <w:t>（六）其他处理</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25</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76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w:t>
            </w: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tcBorders>
            <w:vAlign w:val="center"/>
          </w:tcPr>
          <w:p>
            <w:pPr>
              <w:adjustRightInd w:val="0"/>
              <w:snapToGrid w:val="0"/>
              <w:jc w:val="left"/>
              <w:rPr>
                <w:rFonts w:ascii="仿宋_GB2312" w:hAnsi="宋体" w:cs="宋体"/>
                <w:color w:val="000000"/>
                <w:sz w:val="24"/>
              </w:rPr>
            </w:pPr>
          </w:p>
        </w:tc>
        <w:tc>
          <w:tcPr>
            <w:tcW w:w="2887" w:type="dxa"/>
            <w:gridSpan w:val="2"/>
            <w:tcBorders>
              <w:left w:val="nil"/>
            </w:tcBorders>
            <w:vAlign w:val="center"/>
          </w:tcPr>
          <w:p>
            <w:pPr>
              <w:adjustRightInd w:val="0"/>
              <w:snapToGrid w:val="0"/>
              <w:jc w:val="left"/>
              <w:rPr>
                <w:rFonts w:ascii="仿宋_GB2312"/>
                <w:color w:val="000000"/>
                <w:sz w:val="24"/>
              </w:rPr>
            </w:pPr>
            <w:r>
              <w:rPr>
                <w:rFonts w:hint="eastAsia" w:ascii="仿宋_GB2312" w:hAnsi="楷体" w:cs="楷体"/>
                <w:color w:val="000000"/>
                <w:sz w:val="24"/>
              </w:rPr>
              <w:t>（七）总计</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1444</w:t>
            </w:r>
          </w:p>
        </w:tc>
        <w:tc>
          <w:tcPr>
            <w:tcW w:w="757"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84</w:t>
            </w:r>
          </w:p>
        </w:tc>
        <w:tc>
          <w:tcPr>
            <w:tcW w:w="76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10</w:t>
            </w:r>
          </w:p>
        </w:tc>
        <w:tc>
          <w:tcPr>
            <w:tcW w:w="915"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12</w:t>
            </w:r>
          </w:p>
        </w:tc>
        <w:tc>
          <w:tcPr>
            <w:tcW w:w="90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6</w:t>
            </w:r>
          </w:p>
        </w:tc>
        <w:tc>
          <w:tcPr>
            <w:tcW w:w="720"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6</w:t>
            </w:r>
          </w:p>
        </w:tc>
        <w:tc>
          <w:tcPr>
            <w:tcW w:w="702"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1" w:type="dxa"/>
            <w:gridSpan w:val="3"/>
            <w:vAlign w:val="center"/>
          </w:tcPr>
          <w:p>
            <w:pPr>
              <w:adjustRightInd w:val="0"/>
              <w:snapToGrid w:val="0"/>
              <w:jc w:val="left"/>
              <w:rPr>
                <w:rFonts w:ascii="仿宋_GB2312"/>
                <w:color w:val="000000"/>
                <w:sz w:val="24"/>
              </w:rPr>
            </w:pPr>
            <w:r>
              <w:rPr>
                <w:rFonts w:hint="eastAsia" w:ascii="仿宋_GB2312"/>
                <w:color w:val="000000"/>
                <w:sz w:val="24"/>
              </w:rPr>
              <w:t>四、结转下年度继续办理</w:t>
            </w:r>
          </w:p>
        </w:tc>
        <w:tc>
          <w:tcPr>
            <w:tcW w:w="931" w:type="dxa"/>
            <w:tcBorders>
              <w:left w:val="nil"/>
            </w:tcBorders>
            <w:vAlign w:val="center"/>
          </w:tcPr>
          <w:p>
            <w:pPr>
              <w:widowControl/>
              <w:jc w:val="center"/>
              <w:textAlignment w:val="center"/>
              <w:rPr>
                <w:rFonts w:ascii="仿宋_GB2312"/>
                <w:color w:val="000000"/>
                <w:sz w:val="24"/>
              </w:rPr>
            </w:pPr>
            <w:r>
              <w:rPr>
                <w:rFonts w:hint="eastAsia" w:ascii="仿宋_GB2312" w:hAnsi="宋体" w:cs="仿宋_GB2312"/>
                <w:color w:val="000000"/>
                <w:kern w:val="0"/>
                <w:sz w:val="24"/>
              </w:rPr>
              <w:t>10</w:t>
            </w:r>
          </w:p>
        </w:tc>
        <w:tc>
          <w:tcPr>
            <w:tcW w:w="757" w:type="dxa"/>
            <w:tcBorders>
              <w:left w:val="nil"/>
            </w:tcBorders>
            <w:vAlign w:val="center"/>
          </w:tcPr>
          <w:p>
            <w:pPr>
              <w:jc w:val="center"/>
              <w:rPr>
                <w:rFonts w:ascii="仿宋_GB2312"/>
                <w:color w:val="000000"/>
                <w:sz w:val="24"/>
              </w:rPr>
            </w:pPr>
          </w:p>
        </w:tc>
        <w:tc>
          <w:tcPr>
            <w:tcW w:w="765" w:type="dxa"/>
            <w:tcBorders>
              <w:left w:val="nil"/>
            </w:tcBorders>
            <w:vAlign w:val="center"/>
          </w:tcPr>
          <w:p>
            <w:pPr>
              <w:jc w:val="center"/>
              <w:rPr>
                <w:rFonts w:ascii="仿宋_GB2312"/>
                <w:color w:val="000000"/>
                <w:sz w:val="24"/>
              </w:rPr>
            </w:pPr>
          </w:p>
        </w:tc>
        <w:tc>
          <w:tcPr>
            <w:tcW w:w="915" w:type="dxa"/>
            <w:tcBorders>
              <w:left w:val="nil"/>
            </w:tcBorders>
            <w:vAlign w:val="center"/>
          </w:tcPr>
          <w:p>
            <w:pPr>
              <w:jc w:val="center"/>
              <w:rPr>
                <w:rFonts w:ascii="仿宋_GB2312"/>
                <w:color w:val="000000"/>
                <w:sz w:val="24"/>
              </w:rPr>
            </w:pPr>
          </w:p>
        </w:tc>
        <w:tc>
          <w:tcPr>
            <w:tcW w:w="900" w:type="dxa"/>
            <w:tcBorders>
              <w:left w:val="nil"/>
            </w:tcBorders>
            <w:vAlign w:val="center"/>
          </w:tcPr>
          <w:p>
            <w:pPr>
              <w:jc w:val="center"/>
              <w:rPr>
                <w:rFonts w:ascii="仿宋_GB2312"/>
                <w:color w:val="000000"/>
                <w:sz w:val="24"/>
              </w:rPr>
            </w:pPr>
          </w:p>
        </w:tc>
        <w:tc>
          <w:tcPr>
            <w:tcW w:w="720" w:type="dxa"/>
            <w:tcBorders>
              <w:left w:val="nil"/>
            </w:tcBorders>
            <w:vAlign w:val="center"/>
          </w:tcPr>
          <w:p>
            <w:pPr>
              <w:jc w:val="center"/>
              <w:rPr>
                <w:rFonts w:ascii="仿宋_GB2312"/>
                <w:color w:val="000000"/>
                <w:sz w:val="24"/>
              </w:rPr>
            </w:pPr>
          </w:p>
        </w:tc>
        <w:tc>
          <w:tcPr>
            <w:tcW w:w="702" w:type="dxa"/>
            <w:tcBorders>
              <w:left w:val="nil"/>
            </w:tcBorders>
            <w:vAlign w:val="center"/>
          </w:tcPr>
          <w:p>
            <w:pPr>
              <w:widowControl/>
              <w:jc w:val="center"/>
              <w:textAlignment w:val="center"/>
              <w:rPr>
                <w:rFonts w:ascii="仿宋_GB2312" w:hAnsi="宋体" w:cs="宋体"/>
                <w:color w:val="000000"/>
                <w:sz w:val="24"/>
              </w:rPr>
            </w:pPr>
            <w:r>
              <w:rPr>
                <w:rFonts w:hint="eastAsia" w:ascii="仿宋_GB2312" w:hAnsi="宋体" w:cs="仿宋_GB2312"/>
                <w:color w:val="000000"/>
                <w:kern w:val="0"/>
                <w:sz w:val="24"/>
              </w:rPr>
              <w:t>10</w:t>
            </w:r>
          </w:p>
        </w:tc>
      </w:tr>
    </w:tbl>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黑体" w:hAnsi="黑体" w:eastAsia="黑体" w:cs="黑体"/>
          <w:bCs/>
          <w:color w:val="000000"/>
          <w:sz w:val="32"/>
          <w:szCs w:val="32"/>
          <w:lang w:eastAsia="zh-CN"/>
        </w:rPr>
      </w:pPr>
      <w:r>
        <w:rPr>
          <w:rFonts w:hint="eastAsia" w:ascii="黑体" w:hAnsi="黑体" w:eastAsia="黑体" w:cs="黑体"/>
          <w:bCs/>
          <w:color w:val="000000"/>
          <w:sz w:val="32"/>
          <w:szCs w:val="32"/>
          <w:lang w:eastAsia="zh-CN"/>
        </w:rPr>
        <w:t>数据分析：</w:t>
      </w: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rPr>
        <w:t>从申请类别来看，自然人申请件1445件，法人或其他组织申请件118件。</w:t>
      </w:r>
    </w:p>
    <w:p>
      <w:pPr>
        <w:pStyle w:val="5"/>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lang w:eastAsia="zh-CN"/>
        </w:rPr>
        <w:drawing>
          <wp:anchor distT="0" distB="0" distL="114300" distR="114300" simplePos="0" relativeHeight="251732992" behindDoc="0" locked="0" layoutInCell="1" allowOverlap="1">
            <wp:simplePos x="0" y="0"/>
            <wp:positionH relativeFrom="column">
              <wp:posOffset>567055</wp:posOffset>
            </wp:positionH>
            <wp:positionV relativeFrom="paragraph">
              <wp:posOffset>48260</wp:posOffset>
            </wp:positionV>
            <wp:extent cx="4490720" cy="2252980"/>
            <wp:effectExtent l="0" t="0" r="5080" b="13970"/>
            <wp:wrapNone/>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6"/>
                    <a:srcRect l="834" t="811" r="834" b="3245"/>
                    <a:stretch>
                      <a:fillRect/>
                    </a:stretch>
                  </pic:blipFill>
                  <pic:spPr>
                    <a:xfrm>
                      <a:off x="0" y="0"/>
                      <a:ext cx="4490720" cy="2252980"/>
                    </a:xfrm>
                    <a:prstGeom prst="rect">
                      <a:avLst/>
                    </a:prstGeom>
                  </pic:spPr>
                </pic:pic>
              </a:graphicData>
            </a:graphic>
          </wp:anchor>
        </w:drawing>
      </w: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从办理结果来看，予以公开及部分公开1116件，占总申请件数的71.4%；不予公开100件，占6.4%；因本机关不掌握等原因无法提供304件，占19.2%；不予处理18件，占1.2%；其他处理27件，占1.7%。</w:t>
      </w: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drawing>
          <wp:anchor distT="0" distB="0" distL="114300" distR="114300" simplePos="0" relativeHeight="251731968" behindDoc="0" locked="0" layoutInCell="1" allowOverlap="1">
            <wp:simplePos x="0" y="0"/>
            <wp:positionH relativeFrom="column">
              <wp:posOffset>146685</wp:posOffset>
            </wp:positionH>
            <wp:positionV relativeFrom="paragraph">
              <wp:posOffset>64135</wp:posOffset>
            </wp:positionV>
            <wp:extent cx="5409565" cy="2704465"/>
            <wp:effectExtent l="0" t="0" r="635" b="635"/>
            <wp:wrapNone/>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17"/>
                    <a:srcRect l="1036" t="1035" r="864" b="1035"/>
                    <a:stretch>
                      <a:fillRect/>
                    </a:stretch>
                  </pic:blipFill>
                  <pic:spPr>
                    <a:xfrm>
                      <a:off x="0" y="0"/>
                      <a:ext cx="5409565" cy="2704465"/>
                    </a:xfrm>
                    <a:prstGeom prst="rect">
                      <a:avLst/>
                    </a:prstGeom>
                  </pic:spPr>
                </pic:pic>
              </a:graphicData>
            </a:graphic>
          </wp:anchor>
        </w:drawing>
      </w: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从依申请公开政府信息类别上来看，国土、规划、建设类1028件，农林水类120件, 民本民生类297件, 劳动人事类32件,其他类86件,分别占依申请政府信息总量的65.8% 、7.7%、19%、2.0%、5.5%。</w:t>
      </w: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lang w:eastAsia="zh-CN"/>
        </w:rPr>
      </w:pPr>
      <w:r>
        <w:rPr>
          <w:rFonts w:hint="eastAsia" w:ascii="黑体" w:hAnsi="黑体" w:eastAsia="黑体" w:cs="黑体"/>
          <w:bCs/>
          <w:color w:val="000000"/>
          <w:sz w:val="32"/>
          <w:szCs w:val="32"/>
          <w:lang w:eastAsia="zh-CN"/>
        </w:rPr>
        <w:drawing>
          <wp:anchor distT="0" distB="0" distL="114300" distR="114300" simplePos="0" relativeHeight="251734016" behindDoc="0" locked="0" layoutInCell="1" allowOverlap="1">
            <wp:simplePos x="0" y="0"/>
            <wp:positionH relativeFrom="column">
              <wp:posOffset>133350</wp:posOffset>
            </wp:positionH>
            <wp:positionV relativeFrom="paragraph">
              <wp:posOffset>29845</wp:posOffset>
            </wp:positionV>
            <wp:extent cx="5429250" cy="2830830"/>
            <wp:effectExtent l="0" t="0" r="0" b="7620"/>
            <wp:wrapNone/>
            <wp:docPr id="7" name="图片 7"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3"/>
                    <pic:cNvPicPr>
                      <a:picLocks noChangeAspect="1"/>
                    </pic:cNvPicPr>
                  </pic:nvPicPr>
                  <pic:blipFill>
                    <a:blip r:embed="rId18"/>
                    <a:srcRect l="9534" t="1512" r="1180" b="8585"/>
                    <a:stretch>
                      <a:fillRect/>
                    </a:stretch>
                  </pic:blipFill>
                  <pic:spPr>
                    <a:xfrm>
                      <a:off x="0" y="0"/>
                      <a:ext cx="5429250" cy="2830830"/>
                    </a:xfrm>
                    <a:prstGeom prst="rect">
                      <a:avLst/>
                    </a:prstGeom>
                  </pic:spPr>
                </pic:pic>
              </a:graphicData>
            </a:graphic>
          </wp:anchor>
        </w:drawing>
      </w:r>
    </w:p>
    <w:p>
      <w:pPr>
        <w:pStyle w:val="5"/>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outlineLvl w:val="9"/>
        <w:rPr>
          <w:rFonts w:hint="eastAsia" w:ascii="仿宋_GB2312" w:hAnsi="仿宋_GB2312" w:eastAsia="仿宋_GB2312" w:cs="仿宋_GB2312"/>
          <w:bCs/>
          <w:color w:val="000000"/>
          <w:sz w:val="32"/>
          <w:szCs w:val="32"/>
          <w:lang w:eastAsia="zh-CN"/>
        </w:rPr>
      </w:pPr>
    </w:p>
    <w:p>
      <w:pPr>
        <w:pStyle w:val="5"/>
        <w:spacing w:line="560" w:lineRule="exact"/>
        <w:ind w:firstLine="632" w:firstLineChars="200"/>
        <w:jc w:val="both"/>
        <w:rPr>
          <w:rFonts w:hint="eastAsia" w:ascii="黑体" w:hAnsi="黑体" w:eastAsia="黑体" w:cs="黑体"/>
          <w:bCs/>
          <w:color w:val="000000"/>
          <w:sz w:val="32"/>
          <w:szCs w:val="32"/>
          <w:lang w:eastAsia="zh-CN"/>
        </w:rPr>
      </w:pPr>
    </w:p>
    <w:p>
      <w:pPr>
        <w:pStyle w:val="5"/>
        <w:spacing w:line="560" w:lineRule="exact"/>
        <w:ind w:firstLine="632" w:firstLineChars="200"/>
        <w:jc w:val="both"/>
        <w:rPr>
          <w:rFonts w:hint="eastAsia" w:ascii="黑体" w:hAnsi="黑体" w:eastAsia="黑体" w:cs="黑体"/>
          <w:bCs/>
          <w:color w:val="000000"/>
          <w:sz w:val="32"/>
          <w:szCs w:val="32"/>
        </w:rPr>
      </w:pPr>
    </w:p>
    <w:p>
      <w:pPr>
        <w:pStyle w:val="5"/>
        <w:spacing w:line="560" w:lineRule="exact"/>
        <w:ind w:firstLine="632" w:firstLineChars="200"/>
        <w:jc w:val="both"/>
        <w:rPr>
          <w:rFonts w:hint="eastAsia" w:ascii="黑体" w:hAnsi="黑体" w:eastAsia="黑体" w:cs="黑体"/>
          <w:bCs/>
          <w:color w:val="000000"/>
          <w:sz w:val="32"/>
          <w:szCs w:val="32"/>
        </w:rPr>
      </w:pPr>
    </w:p>
    <w:p>
      <w:pPr>
        <w:pStyle w:val="5"/>
        <w:spacing w:line="560" w:lineRule="exact"/>
        <w:ind w:firstLine="632" w:firstLineChars="200"/>
        <w:jc w:val="both"/>
        <w:rPr>
          <w:rFonts w:hint="eastAsia" w:ascii="黑体" w:hAnsi="黑体" w:eastAsia="黑体" w:cs="黑体"/>
          <w:bCs/>
          <w:color w:val="000000"/>
          <w:sz w:val="32"/>
          <w:szCs w:val="32"/>
        </w:rPr>
      </w:pPr>
    </w:p>
    <w:p>
      <w:pPr>
        <w:pStyle w:val="5"/>
        <w:spacing w:line="560" w:lineRule="exact"/>
        <w:ind w:firstLine="632" w:firstLineChars="200"/>
        <w:jc w:val="both"/>
        <w:rPr>
          <w:rFonts w:hint="eastAsia" w:ascii="黑体" w:hAnsi="黑体" w:eastAsia="黑体" w:cs="黑体"/>
          <w:bCs/>
          <w:color w:val="000000"/>
          <w:sz w:val="32"/>
          <w:szCs w:val="32"/>
        </w:rPr>
      </w:pPr>
    </w:p>
    <w:p>
      <w:pPr>
        <w:pStyle w:val="5"/>
        <w:spacing w:line="560" w:lineRule="exact"/>
        <w:ind w:firstLine="632" w:firstLineChars="200"/>
        <w:jc w:val="both"/>
        <w:rPr>
          <w:rFonts w:hint="eastAsia" w:ascii="黑体" w:hAnsi="黑体" w:eastAsia="黑体" w:cs="黑体"/>
          <w:bCs/>
          <w:color w:val="000000"/>
          <w:sz w:val="32"/>
          <w:szCs w:val="32"/>
        </w:rPr>
      </w:pPr>
    </w:p>
    <w:p>
      <w:pPr>
        <w:pStyle w:val="5"/>
        <w:spacing w:line="560" w:lineRule="exact"/>
        <w:ind w:firstLine="632" w:firstLineChars="200"/>
        <w:jc w:val="both"/>
        <w:rPr>
          <w:rFonts w:hint="eastAsia" w:ascii="黑体" w:hAnsi="黑体" w:eastAsia="黑体" w:cs="黑体"/>
          <w:bCs/>
          <w:color w:val="000000"/>
          <w:sz w:val="32"/>
          <w:szCs w:val="32"/>
        </w:rPr>
      </w:pPr>
    </w:p>
    <w:p>
      <w:pPr>
        <w:pStyle w:val="5"/>
        <w:spacing w:line="560" w:lineRule="exact"/>
        <w:ind w:firstLine="632" w:firstLineChars="200"/>
        <w:jc w:val="both"/>
        <w:rPr>
          <w:rFonts w:hint="eastAsia" w:ascii="黑体" w:hAnsi="黑体" w:eastAsia="黑体" w:cs="黑体"/>
          <w:bCs/>
          <w:color w:val="000000"/>
          <w:sz w:val="32"/>
          <w:szCs w:val="32"/>
        </w:rPr>
      </w:pPr>
    </w:p>
    <w:p>
      <w:pPr>
        <w:pStyle w:val="5"/>
        <w:spacing w:line="560" w:lineRule="exact"/>
        <w:ind w:firstLine="632" w:firstLineChars="200"/>
        <w:jc w:val="both"/>
        <w:rPr>
          <w:rFonts w:ascii="黑体" w:hAnsi="黑体" w:eastAsia="黑体" w:cs="黑体"/>
          <w:bCs/>
          <w:color w:val="000000"/>
          <w:sz w:val="32"/>
          <w:szCs w:val="32"/>
        </w:rPr>
      </w:pPr>
      <w:r>
        <w:rPr>
          <w:rFonts w:hint="eastAsia" w:ascii="黑体" w:hAnsi="黑体" w:eastAsia="黑体" w:cs="黑体"/>
          <w:bCs/>
          <w:color w:val="000000"/>
          <w:sz w:val="32"/>
          <w:szCs w:val="32"/>
        </w:rPr>
        <w:t>四、政府信息公开行政复议、行政诉讼情况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3074" w:type="dxa"/>
            <w:gridSpan w:val="5"/>
            <w:vAlign w:val="center"/>
          </w:tcPr>
          <w:p>
            <w:pPr>
              <w:widowControl/>
              <w:adjustRightInd w:val="0"/>
              <w:snapToGrid w:val="0"/>
              <w:jc w:val="center"/>
              <w:rPr>
                <w:rFonts w:eastAsia="黑体"/>
                <w:color w:val="000000"/>
                <w:sz w:val="24"/>
              </w:rPr>
            </w:pPr>
            <w:r>
              <w:rPr>
                <w:rFonts w:hint="eastAsia" w:eastAsia="黑体"/>
                <w:color w:val="000000"/>
                <w:sz w:val="24"/>
              </w:rPr>
              <w:t>行政复议</w:t>
            </w:r>
          </w:p>
        </w:tc>
        <w:tc>
          <w:tcPr>
            <w:tcW w:w="5997" w:type="dxa"/>
            <w:gridSpan w:val="10"/>
            <w:tcBorders>
              <w:left w:val="nil"/>
            </w:tcBorders>
            <w:vAlign w:val="center"/>
          </w:tcPr>
          <w:p>
            <w:pPr>
              <w:widowControl/>
              <w:adjustRightInd w:val="0"/>
              <w:snapToGrid w:val="0"/>
              <w:jc w:val="center"/>
              <w:rPr>
                <w:rFonts w:eastAsia="黑体"/>
                <w:color w:val="000000"/>
                <w:sz w:val="24"/>
              </w:rPr>
            </w:pPr>
            <w:r>
              <w:rPr>
                <w:rFonts w:hint="eastAsia" w:eastAsia="黑体"/>
                <w:color w:val="000000"/>
                <w:sz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04" w:type="dxa"/>
            <w:vMerge w:val="restart"/>
            <w:tcBorders>
              <w:top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结果维持</w:t>
            </w:r>
          </w:p>
        </w:tc>
        <w:tc>
          <w:tcPr>
            <w:tcW w:w="604" w:type="dxa"/>
            <w:vMerge w:val="restart"/>
            <w:tcBorders>
              <w:top w:val="nil"/>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结果纠正</w:t>
            </w:r>
          </w:p>
        </w:tc>
        <w:tc>
          <w:tcPr>
            <w:tcW w:w="604" w:type="dxa"/>
            <w:vMerge w:val="restart"/>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其他结果</w:t>
            </w:r>
          </w:p>
        </w:tc>
        <w:tc>
          <w:tcPr>
            <w:tcW w:w="604" w:type="dxa"/>
            <w:vMerge w:val="restart"/>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尚未审结</w:t>
            </w:r>
          </w:p>
        </w:tc>
        <w:tc>
          <w:tcPr>
            <w:tcW w:w="658" w:type="dxa"/>
            <w:vMerge w:val="restart"/>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总计</w:t>
            </w:r>
          </w:p>
        </w:tc>
        <w:tc>
          <w:tcPr>
            <w:tcW w:w="2970" w:type="dxa"/>
            <w:gridSpan w:val="5"/>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未经复议直接起诉</w:t>
            </w:r>
          </w:p>
        </w:tc>
        <w:tc>
          <w:tcPr>
            <w:tcW w:w="3027" w:type="dxa"/>
            <w:gridSpan w:val="5"/>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continue"/>
            <w:tcBorders>
              <w:top w:val="nil"/>
            </w:tcBorders>
            <w:vAlign w:val="center"/>
          </w:tcPr>
          <w:p>
            <w:pPr>
              <w:adjustRightInd w:val="0"/>
              <w:snapToGrid w:val="0"/>
              <w:ind w:left="-94" w:leftChars="-30" w:right="-94" w:rightChars="-30"/>
              <w:jc w:val="left"/>
              <w:rPr>
                <w:rFonts w:ascii="宋体" w:hAnsi="宋体" w:eastAsia="黑体" w:cs="宋体"/>
                <w:color w:val="000000"/>
                <w:sz w:val="24"/>
              </w:rPr>
            </w:pPr>
          </w:p>
        </w:tc>
        <w:tc>
          <w:tcPr>
            <w:tcW w:w="604" w:type="dxa"/>
            <w:vMerge w:val="continue"/>
            <w:tcBorders>
              <w:top w:val="nil"/>
              <w:left w:val="nil"/>
            </w:tcBorders>
            <w:vAlign w:val="center"/>
          </w:tcPr>
          <w:p>
            <w:pPr>
              <w:adjustRightInd w:val="0"/>
              <w:snapToGrid w:val="0"/>
              <w:ind w:left="-94" w:leftChars="-30" w:right="-94" w:rightChars="-30"/>
              <w:jc w:val="left"/>
              <w:rPr>
                <w:rFonts w:ascii="宋体" w:hAnsi="宋体" w:eastAsia="黑体" w:cs="宋体"/>
                <w:color w:val="000000"/>
                <w:sz w:val="24"/>
              </w:rPr>
            </w:pPr>
          </w:p>
        </w:tc>
        <w:tc>
          <w:tcPr>
            <w:tcW w:w="604" w:type="dxa"/>
            <w:vMerge w:val="continue"/>
            <w:tcBorders>
              <w:left w:val="nil"/>
            </w:tcBorders>
            <w:vAlign w:val="center"/>
          </w:tcPr>
          <w:p>
            <w:pPr>
              <w:adjustRightInd w:val="0"/>
              <w:snapToGrid w:val="0"/>
              <w:ind w:left="-94" w:leftChars="-30" w:right="-94" w:rightChars="-30"/>
              <w:jc w:val="left"/>
              <w:rPr>
                <w:rFonts w:ascii="宋体" w:hAnsi="宋体" w:eastAsia="黑体" w:cs="宋体"/>
                <w:color w:val="000000"/>
                <w:sz w:val="24"/>
              </w:rPr>
            </w:pPr>
          </w:p>
        </w:tc>
        <w:tc>
          <w:tcPr>
            <w:tcW w:w="604" w:type="dxa"/>
            <w:vMerge w:val="continue"/>
            <w:tcBorders>
              <w:left w:val="nil"/>
            </w:tcBorders>
            <w:vAlign w:val="center"/>
          </w:tcPr>
          <w:p>
            <w:pPr>
              <w:adjustRightInd w:val="0"/>
              <w:snapToGrid w:val="0"/>
              <w:ind w:left="-94" w:leftChars="-30" w:right="-94" w:rightChars="-30"/>
              <w:jc w:val="left"/>
              <w:rPr>
                <w:rFonts w:ascii="宋体" w:hAnsi="宋体" w:eastAsia="黑体" w:cs="宋体"/>
                <w:color w:val="000000"/>
                <w:sz w:val="24"/>
              </w:rPr>
            </w:pPr>
          </w:p>
        </w:tc>
        <w:tc>
          <w:tcPr>
            <w:tcW w:w="658" w:type="dxa"/>
            <w:vMerge w:val="continue"/>
            <w:tcBorders>
              <w:left w:val="nil"/>
            </w:tcBorders>
            <w:vAlign w:val="center"/>
          </w:tcPr>
          <w:p>
            <w:pPr>
              <w:adjustRightInd w:val="0"/>
              <w:snapToGrid w:val="0"/>
              <w:ind w:left="-94" w:leftChars="-30" w:right="-94" w:rightChars="-30"/>
              <w:jc w:val="left"/>
              <w:rPr>
                <w:rFonts w:ascii="宋体" w:hAnsi="宋体" w:eastAsia="黑体" w:cs="宋体"/>
                <w:color w:val="000000"/>
                <w:sz w:val="24"/>
              </w:rPr>
            </w:pPr>
          </w:p>
        </w:tc>
        <w:tc>
          <w:tcPr>
            <w:tcW w:w="550"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结果维持</w:t>
            </w:r>
          </w:p>
        </w:tc>
        <w:tc>
          <w:tcPr>
            <w:tcW w:w="605"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结果纠正</w:t>
            </w:r>
          </w:p>
        </w:tc>
        <w:tc>
          <w:tcPr>
            <w:tcW w:w="605"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其他结果</w:t>
            </w:r>
          </w:p>
        </w:tc>
        <w:tc>
          <w:tcPr>
            <w:tcW w:w="605"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尚未审结</w:t>
            </w:r>
          </w:p>
        </w:tc>
        <w:tc>
          <w:tcPr>
            <w:tcW w:w="605"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ascii="宋体" w:hAnsi="宋体" w:eastAsia="黑体" w:cs="宋体"/>
                <w:color w:val="000000"/>
                <w:kern w:val="0"/>
                <w:sz w:val="24"/>
              </w:rPr>
              <w:t>总计</w:t>
            </w:r>
          </w:p>
        </w:tc>
        <w:tc>
          <w:tcPr>
            <w:tcW w:w="605"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结果维持</w:t>
            </w:r>
          </w:p>
        </w:tc>
        <w:tc>
          <w:tcPr>
            <w:tcW w:w="605"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结果纠正</w:t>
            </w:r>
          </w:p>
        </w:tc>
        <w:tc>
          <w:tcPr>
            <w:tcW w:w="605"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ascii="宋体" w:hAnsi="宋体" w:eastAsia="黑体" w:cs="宋体"/>
                <w:color w:val="000000"/>
                <w:kern w:val="0"/>
                <w:sz w:val="24"/>
              </w:rPr>
              <w:t>其他结果</w:t>
            </w:r>
          </w:p>
        </w:tc>
        <w:tc>
          <w:tcPr>
            <w:tcW w:w="606"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eastAsia="黑体"/>
                <w:color w:val="000000"/>
                <w:sz w:val="24"/>
              </w:rPr>
              <w:t>尚未审结</w:t>
            </w:r>
          </w:p>
        </w:tc>
        <w:tc>
          <w:tcPr>
            <w:tcW w:w="606" w:type="dxa"/>
            <w:tcBorders>
              <w:left w:val="nil"/>
            </w:tcBorders>
            <w:vAlign w:val="center"/>
          </w:tcPr>
          <w:p>
            <w:pPr>
              <w:widowControl/>
              <w:adjustRightInd w:val="0"/>
              <w:snapToGrid w:val="0"/>
              <w:ind w:left="-94" w:leftChars="-30" w:right="-94" w:rightChars="-30"/>
              <w:jc w:val="center"/>
              <w:rPr>
                <w:rFonts w:eastAsia="黑体"/>
                <w:color w:val="000000"/>
                <w:sz w:val="24"/>
              </w:rPr>
            </w:pPr>
            <w:r>
              <w:rPr>
                <w:rFonts w:hint="eastAsia" w:ascii="宋体" w:hAnsi="宋体" w:eastAsia="黑体" w:cs="宋体"/>
                <w:color w:val="000000"/>
                <w:kern w:val="0"/>
                <w:sz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04" w:type="dxa"/>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604"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604"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604"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p>
        </w:tc>
        <w:tc>
          <w:tcPr>
            <w:tcW w:w="658"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550"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605"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p>
        </w:tc>
        <w:tc>
          <w:tcPr>
            <w:tcW w:w="605"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p>
        </w:tc>
        <w:tc>
          <w:tcPr>
            <w:tcW w:w="605"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p>
        </w:tc>
        <w:tc>
          <w:tcPr>
            <w:tcW w:w="605"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605"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605"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p>
        </w:tc>
        <w:tc>
          <w:tcPr>
            <w:tcW w:w="605"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606" w:type="dxa"/>
            <w:tcBorders>
              <w:left w:val="nil"/>
            </w:tcBorders>
            <w:vAlign w:val="center"/>
          </w:tcPr>
          <w:p>
            <w:pPr>
              <w:widowControl/>
              <w:adjustRightInd w:val="0"/>
              <w:snapToGrid w:val="0"/>
              <w:jc w:val="center"/>
              <w:rPr>
                <w:rFonts w:hint="eastAsia" w:ascii="仿宋_GB2312" w:hAnsi="仿宋_GB2312" w:eastAsia="仿宋_GB2312" w:cs="仿宋_GB2312"/>
                <w:color w:val="000000"/>
                <w:sz w:val="24"/>
                <w:szCs w:val="24"/>
              </w:rPr>
            </w:pPr>
          </w:p>
        </w:tc>
        <w:tc>
          <w:tcPr>
            <w:tcW w:w="606" w:type="dxa"/>
            <w:tcBorders>
              <w:left w:val="nil"/>
            </w:tcBorders>
            <w:vAlign w:val="center"/>
          </w:tcPr>
          <w:p>
            <w:pPr>
              <w:adjustRightInd w:val="0"/>
              <w:snapToGrid w:val="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r>
    </w:tbl>
    <w:p>
      <w:pPr>
        <w:pStyle w:val="5"/>
        <w:spacing w:line="560" w:lineRule="exact"/>
        <w:ind w:firstLine="632" w:firstLineChars="200"/>
        <w:jc w:val="both"/>
        <w:rPr>
          <w:rFonts w:ascii="黑体" w:hAnsi="黑体" w:eastAsia="黑体" w:cs="黑体"/>
          <w:bCs/>
          <w:color w:val="000000"/>
          <w:sz w:val="32"/>
          <w:szCs w:val="32"/>
        </w:rPr>
      </w:pPr>
      <w:r>
        <w:rPr>
          <w:rFonts w:hint="eastAsia" w:ascii="黑体" w:hAnsi="黑体" w:eastAsia="黑体" w:cs="黑体"/>
          <w:bCs/>
          <w:color w:val="000000"/>
          <w:sz w:val="32"/>
          <w:szCs w:val="32"/>
        </w:rPr>
        <w:t>五、存在的主要问题及改进情况</w:t>
      </w:r>
    </w:p>
    <w:p>
      <w:pPr>
        <w:spacing w:line="560" w:lineRule="exact"/>
        <w:ind w:firstLine="632" w:firstLineChars="200"/>
        <w:rPr>
          <w:rFonts w:ascii="仿宋_GB2312" w:hAnsi="仿宋_GB2312" w:cs="仿宋_GB2312"/>
          <w:szCs w:val="32"/>
        </w:rPr>
      </w:pPr>
      <w:r>
        <w:rPr>
          <w:rFonts w:hint="eastAsia" w:ascii="仿宋_GB2312" w:hAnsi="仿宋_GB2312" w:cs="仿宋_GB2312"/>
          <w:szCs w:val="32"/>
        </w:rPr>
        <w:t>本年度政府信息公开工作虽然取得了明显成效，但仍然存在一些问题和不足，主要</w:t>
      </w:r>
      <w:r>
        <w:rPr>
          <w:rFonts w:hint="eastAsia" w:ascii="仿宋_GB2312" w:hAnsi="仿宋_GB2312" w:cs="仿宋_GB2312"/>
          <w:szCs w:val="32"/>
          <w:lang w:eastAsia="zh-CN"/>
        </w:rPr>
        <w:t>体现在</w:t>
      </w:r>
      <w:r>
        <w:rPr>
          <w:rFonts w:hint="eastAsia" w:ascii="仿宋_GB2312" w:hAnsi="仿宋_GB2312" w:cs="仿宋_GB2312"/>
          <w:szCs w:val="32"/>
        </w:rPr>
        <w:t>：政务信息管理基础工作还不够扎实，政策宣传解读实效性有待进一步提高，政策解读不够丰富，解读形式单一、多媒体解读运用不足。</w:t>
      </w:r>
    </w:p>
    <w:p>
      <w:pPr>
        <w:pStyle w:val="2"/>
        <w:ind w:firstLine="632" w:firstLineChars="200"/>
      </w:pPr>
      <w:r>
        <w:rPr>
          <w:rFonts w:hint="eastAsia" w:ascii="仿宋_GB2312" w:hAnsi="仿宋_GB2312" w:cs="仿宋_GB2312"/>
          <w:szCs w:val="32"/>
        </w:rPr>
        <w:t>针对上述问题，我们主要采取突出公开重点、改善公开方式、改进考核办法等方法予以解决。一是持续深入推进决策、执行、管理、服务、结果“五公开”，更加注重需求导向，在公开内容上突出规范性文件、政策性文件等重要政务信息，不断提高公开的“含金量”；二是综合运用传统媒体、政务新媒体等平台通过在市政府门户网站开设专栏等方式，对相关信息进行集中公开和集成解读，坚持政策文件和解读文本同步公开，确保群众看得懂、记得住、用得上；三是</w:t>
      </w:r>
      <w:r>
        <w:rPr>
          <w:rFonts w:hint="eastAsia" w:ascii="仿宋_GB2312" w:hAnsi="仿宋_GB2312" w:cs="仿宋_GB2312"/>
          <w:szCs w:val="32"/>
          <w:lang w:eastAsia="zh-CN"/>
        </w:rPr>
        <w:t>把</w:t>
      </w:r>
      <w:r>
        <w:rPr>
          <w:rFonts w:hint="eastAsia" w:ascii="仿宋_GB2312" w:hAnsi="仿宋_GB2312" w:cs="仿宋_GB2312"/>
          <w:szCs w:val="32"/>
        </w:rPr>
        <w:t>政务公开基层标准化试点工作进一步落到实处，结合县市区公开工作实际和特色，分领域</w:t>
      </w:r>
      <w:r>
        <w:rPr>
          <w:rFonts w:hint="eastAsia" w:ascii="仿宋_GB2312" w:hAnsi="仿宋_GB2312" w:cs="仿宋_GB2312"/>
          <w:szCs w:val="32"/>
          <w:lang w:eastAsia="zh-CN"/>
        </w:rPr>
        <w:t>建设</w:t>
      </w:r>
      <w:r>
        <w:rPr>
          <w:rFonts w:hint="eastAsia" w:ascii="仿宋_GB2312" w:hAnsi="仿宋_GB2312" w:cs="仿宋_GB2312"/>
          <w:szCs w:val="32"/>
        </w:rPr>
        <w:t>规范化标准化试点，打造一批烟台市政务公开工作样板；四是推动我市政务公开体验区建设，探索政务公开线上、线下服务体验新模式，推动范围更广、形式多样的“政府开放日”活动，实现服务群众零距离；五是加强政务公开业务培训，加强我市各级各部门的业务培训和交流，到国内优秀地市开展调研学习，加快我市政务公开效果转化，为服务型政府建设提供更多动力。</w:t>
      </w:r>
    </w:p>
    <w:p>
      <w:pPr>
        <w:pStyle w:val="5"/>
        <w:spacing w:line="560" w:lineRule="exact"/>
        <w:ind w:firstLine="632" w:firstLineChars="200"/>
        <w:jc w:val="both"/>
        <w:rPr>
          <w:rFonts w:ascii="黑体" w:hAnsi="黑体" w:eastAsia="黑体" w:cs="黑体"/>
          <w:bCs/>
          <w:color w:val="000000"/>
          <w:sz w:val="32"/>
          <w:szCs w:val="32"/>
        </w:rPr>
      </w:pPr>
      <w:r>
        <w:rPr>
          <w:rFonts w:hint="eastAsia" w:ascii="黑体" w:hAnsi="黑体" w:eastAsia="黑体" w:cs="黑体"/>
          <w:bCs/>
          <w:color w:val="000000"/>
          <w:sz w:val="32"/>
          <w:szCs w:val="32"/>
        </w:rPr>
        <w:t>六、其他需要报告的事项</w:t>
      </w:r>
    </w:p>
    <w:p>
      <w:pPr>
        <w:pStyle w:val="5"/>
        <w:widowControl/>
        <w:spacing w:line="560" w:lineRule="exact"/>
        <w:ind w:firstLine="632"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（一）抓好政务公开有关工作任务落实。</w:t>
      </w:r>
      <w:r>
        <w:rPr>
          <w:rFonts w:hint="eastAsia" w:ascii="仿宋_GB2312" w:hAnsi="仿宋_GB2312" w:eastAsia="仿宋_GB2312" w:cs="仿宋_GB2312"/>
          <w:kern w:val="2"/>
          <w:sz w:val="32"/>
          <w:szCs w:val="32"/>
          <w:lang w:val="en-US" w:eastAsia="zh-CN" w:bidi="ar-SA"/>
        </w:rPr>
        <w:t>印发《</w:t>
      </w:r>
      <w:r>
        <w:rPr>
          <w:rFonts w:hint="eastAsia" w:ascii="仿宋_GB2312" w:hAnsi="仿宋_GB2312" w:cs="仿宋_GB2312"/>
          <w:kern w:val="2"/>
          <w:sz w:val="32"/>
          <w:szCs w:val="32"/>
          <w:lang w:val="en-US" w:eastAsia="zh-CN" w:bidi="ar-SA"/>
        </w:rPr>
        <w:t>烟台市2019</w:t>
      </w:r>
      <w:r>
        <w:rPr>
          <w:rFonts w:hint="eastAsia" w:ascii="仿宋_GB2312" w:hAnsi="仿宋_GB2312" w:eastAsia="仿宋_GB2312" w:cs="仿宋_GB2312"/>
          <w:kern w:val="2"/>
          <w:sz w:val="32"/>
          <w:szCs w:val="32"/>
          <w:lang w:val="en-US" w:eastAsia="zh-CN" w:bidi="ar-SA"/>
        </w:rPr>
        <w:t>年政务公开工作要点》，明确</w:t>
      </w:r>
      <w:r>
        <w:rPr>
          <w:rFonts w:hint="eastAsia" w:ascii="仿宋_GB2312" w:hAnsi="仿宋_GB2312" w:cs="仿宋_GB2312"/>
          <w:kern w:val="2"/>
          <w:sz w:val="32"/>
          <w:szCs w:val="32"/>
          <w:lang w:val="en-US" w:eastAsia="zh-CN" w:bidi="ar-SA"/>
        </w:rPr>
        <w:t>各级各</w:t>
      </w:r>
      <w:r>
        <w:rPr>
          <w:rFonts w:hint="eastAsia" w:ascii="仿宋_GB2312" w:hAnsi="仿宋_GB2312" w:eastAsia="仿宋_GB2312" w:cs="仿宋_GB2312"/>
          <w:kern w:val="2"/>
          <w:sz w:val="32"/>
          <w:szCs w:val="32"/>
          <w:lang w:val="en-US" w:eastAsia="zh-CN" w:bidi="ar-SA"/>
        </w:rPr>
        <w:t>部门政务公开年度工作任务并督促落实</w:t>
      </w:r>
      <w:r>
        <w:rPr>
          <w:rFonts w:hint="eastAsia" w:ascii="仿宋_GB2312" w:hAnsi="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积极向国办</w:t>
      </w:r>
      <w:r>
        <w:rPr>
          <w:rFonts w:hint="eastAsia" w:ascii="仿宋_GB2312" w:hAnsi="仿宋_GB2312" w:cs="仿宋_GB2312"/>
          <w:kern w:val="2"/>
          <w:sz w:val="32"/>
          <w:szCs w:val="32"/>
          <w:lang w:val="en-US" w:eastAsia="zh-CN" w:bidi="ar-SA"/>
        </w:rPr>
        <w:t>、省政府办公厅</w:t>
      </w:r>
      <w:r>
        <w:rPr>
          <w:rFonts w:hint="eastAsia" w:ascii="仿宋_GB2312" w:hAnsi="仿宋_GB2312" w:eastAsia="仿宋_GB2312" w:cs="仿宋_GB2312"/>
          <w:kern w:val="2"/>
          <w:sz w:val="32"/>
          <w:szCs w:val="32"/>
          <w:lang w:val="en-US" w:eastAsia="zh-CN" w:bidi="ar-SA"/>
        </w:rPr>
        <w:t>报送我</w:t>
      </w:r>
      <w:r>
        <w:rPr>
          <w:rFonts w:hint="eastAsia" w:ascii="仿宋_GB2312" w:hAnsi="仿宋_GB2312" w:cs="仿宋_GB2312"/>
          <w:kern w:val="2"/>
          <w:sz w:val="32"/>
          <w:szCs w:val="32"/>
          <w:lang w:val="en-US" w:eastAsia="zh-CN" w:bidi="ar-SA"/>
        </w:rPr>
        <w:t>市政务公开</w:t>
      </w:r>
      <w:r>
        <w:rPr>
          <w:rFonts w:hint="eastAsia" w:ascii="仿宋_GB2312" w:hAnsi="仿宋_GB2312" w:eastAsia="仿宋_GB2312" w:cs="仿宋_GB2312"/>
          <w:kern w:val="2"/>
          <w:sz w:val="32"/>
          <w:szCs w:val="32"/>
          <w:lang w:val="en-US" w:eastAsia="zh-CN" w:bidi="ar-SA"/>
        </w:rPr>
        <w:t>工作经验做法，</w:t>
      </w:r>
      <w:r>
        <w:rPr>
          <w:rFonts w:hint="eastAsia" w:ascii="仿宋_GB2312" w:hAnsi="仿宋_GB2312" w:cs="仿宋_GB2312"/>
          <w:kern w:val="2"/>
          <w:sz w:val="32"/>
          <w:szCs w:val="32"/>
          <w:lang w:val="en-US" w:eastAsia="zh-CN" w:bidi="ar-SA"/>
        </w:rPr>
        <w:t>2019年共有87篇经验交流稿件被省“政务公开看山东”平台采用刊发</w:t>
      </w:r>
      <w:r>
        <w:rPr>
          <w:rFonts w:hint="eastAsia" w:ascii="仿宋_GB2312" w:hAnsi="仿宋_GB2312" w:eastAsia="仿宋_GB2312" w:cs="仿宋_GB2312"/>
          <w:kern w:val="2"/>
          <w:sz w:val="32"/>
          <w:szCs w:val="32"/>
          <w:lang w:val="en-US" w:eastAsia="zh-CN" w:bidi="ar-SA"/>
        </w:rPr>
        <w:t>。在《烟台</w:t>
      </w:r>
      <w:r>
        <w:rPr>
          <w:rFonts w:hint="eastAsia" w:ascii="仿宋_GB2312" w:hAnsi="仿宋_GB2312" w:cs="仿宋_GB2312"/>
          <w:kern w:val="2"/>
          <w:sz w:val="32"/>
          <w:szCs w:val="32"/>
          <w:lang w:val="en-US" w:eastAsia="zh-CN" w:bidi="ar-SA"/>
        </w:rPr>
        <w:t>晚</w:t>
      </w:r>
      <w:r>
        <w:rPr>
          <w:rFonts w:hint="eastAsia" w:ascii="仿宋_GB2312" w:hAnsi="仿宋_GB2312" w:eastAsia="仿宋_GB2312" w:cs="仿宋_GB2312"/>
          <w:kern w:val="2"/>
          <w:sz w:val="32"/>
          <w:szCs w:val="32"/>
          <w:lang w:val="en-US" w:eastAsia="zh-CN" w:bidi="ar-SA"/>
        </w:rPr>
        <w:t>报》开辟政务公开专栏，加大报纸的公开力度，</w:t>
      </w:r>
      <w:r>
        <w:rPr>
          <w:rFonts w:hint="eastAsia" w:ascii="仿宋_GB2312" w:hAnsi="仿宋_GB2312" w:cs="仿宋_GB2312"/>
          <w:kern w:val="2"/>
          <w:sz w:val="32"/>
          <w:szCs w:val="32"/>
          <w:lang w:val="en-US" w:eastAsia="zh-CN" w:bidi="ar-SA"/>
        </w:rPr>
        <w:t>打通政府门户网站与“烟台一手通”网站移动端信息共享渠道</w:t>
      </w:r>
      <w:r>
        <w:rPr>
          <w:rFonts w:hint="eastAsia" w:ascii="仿宋_GB2312" w:hAnsi="仿宋_GB2312" w:eastAsia="仿宋_GB2312" w:cs="仿宋_GB2312"/>
          <w:kern w:val="2"/>
          <w:sz w:val="32"/>
          <w:szCs w:val="32"/>
          <w:lang w:val="en-US" w:eastAsia="zh-CN" w:bidi="ar-SA"/>
        </w:rPr>
        <w:t>，</w:t>
      </w:r>
      <w:r>
        <w:rPr>
          <w:rFonts w:hint="eastAsia" w:ascii="仿宋_GB2312" w:hAnsi="仿宋_GB2312" w:cs="仿宋_GB2312"/>
          <w:kern w:val="2"/>
          <w:sz w:val="32"/>
          <w:szCs w:val="32"/>
          <w:lang w:val="en-US" w:eastAsia="zh-CN" w:bidi="ar-SA"/>
        </w:rPr>
        <w:t>增强“烟台发布”“烟台政府网”等微信公众平台的服务功能和吸引力，</w:t>
      </w:r>
      <w:r>
        <w:rPr>
          <w:rFonts w:hint="eastAsia" w:ascii="仿宋_GB2312" w:hAnsi="仿宋_GB2312" w:eastAsia="仿宋_GB2312" w:cs="仿宋_GB2312"/>
          <w:kern w:val="2"/>
          <w:sz w:val="32"/>
          <w:szCs w:val="32"/>
          <w:lang w:val="en-US" w:eastAsia="zh-CN" w:bidi="ar-SA"/>
        </w:rPr>
        <w:t>努力构建网站、报纸、微信、APP客户端</w:t>
      </w:r>
      <w:r>
        <w:rPr>
          <w:rFonts w:hint="eastAsia" w:ascii="仿宋_GB2312" w:hAnsi="仿宋_GB2312" w:cs="仿宋_GB2312"/>
          <w:kern w:val="2"/>
          <w:sz w:val="32"/>
          <w:szCs w:val="32"/>
          <w:lang w:val="en-US" w:eastAsia="zh-CN" w:bidi="ar-SA"/>
        </w:rPr>
        <w:t>等</w:t>
      </w:r>
      <w:r>
        <w:rPr>
          <w:rFonts w:hint="eastAsia" w:ascii="仿宋_GB2312" w:hAnsi="仿宋_GB2312" w:eastAsia="仿宋_GB2312" w:cs="仿宋_GB2312"/>
          <w:kern w:val="2"/>
          <w:sz w:val="32"/>
          <w:szCs w:val="32"/>
          <w:lang w:val="en-US" w:eastAsia="zh-CN" w:bidi="ar-SA"/>
        </w:rPr>
        <w:t>全媒体大公开格局</w:t>
      </w:r>
      <w:r>
        <w:rPr>
          <w:rFonts w:hint="eastAsia" w:ascii="仿宋_GB2312" w:hAnsi="仿宋_GB2312" w:cs="仿宋_GB2312"/>
          <w:kern w:val="2"/>
          <w:sz w:val="32"/>
          <w:szCs w:val="32"/>
          <w:lang w:val="en-US" w:eastAsia="zh-CN" w:bidi="ar-SA"/>
        </w:rPr>
        <w:t>。</w:t>
      </w:r>
    </w:p>
    <w:p>
      <w:pPr>
        <w:pStyle w:val="5"/>
        <w:widowControl/>
        <w:spacing w:line="560" w:lineRule="exact"/>
        <w:ind w:firstLine="632" w:firstLineChars="200"/>
        <w:jc w:val="both"/>
        <w:rPr>
          <w:rFonts w:hint="eastAsia" w:ascii="仿宋_GB2312" w:hAnsi="仿宋_GB2312" w:cs="仿宋_GB2312"/>
          <w:kern w:val="2"/>
          <w:sz w:val="32"/>
          <w:szCs w:val="32"/>
        </w:rPr>
      </w:pPr>
      <w:r>
        <w:rPr>
          <w:rFonts w:hint="eastAsia" w:ascii="仿宋_GB2312" w:hAnsi="仿宋_GB2312" w:eastAsia="仿宋_GB2312" w:cs="仿宋_GB2312"/>
          <w:kern w:val="2"/>
          <w:sz w:val="32"/>
          <w:szCs w:val="32"/>
          <w:lang w:val="en-US" w:eastAsia="zh-CN" w:bidi="ar-SA"/>
        </w:rPr>
        <w:drawing>
          <wp:anchor distT="0" distB="0" distL="114300" distR="114300" simplePos="0" relativeHeight="251740160" behindDoc="0" locked="0" layoutInCell="1" allowOverlap="1">
            <wp:simplePos x="0" y="0"/>
            <wp:positionH relativeFrom="column">
              <wp:posOffset>1529715</wp:posOffset>
            </wp:positionH>
            <wp:positionV relativeFrom="paragraph">
              <wp:posOffset>416560</wp:posOffset>
            </wp:positionV>
            <wp:extent cx="4091305" cy="2778125"/>
            <wp:effectExtent l="0" t="0" r="4445" b="3175"/>
            <wp:wrapSquare wrapText="bothSides"/>
            <wp:docPr id="14" name="图片 14" descr="微信截图_2020070111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截图_20200701110126"/>
                    <pic:cNvPicPr>
                      <a:picLocks noChangeAspect="1"/>
                    </pic:cNvPicPr>
                  </pic:nvPicPr>
                  <pic:blipFill>
                    <a:blip r:embed="rId19"/>
                    <a:stretch>
                      <a:fillRect/>
                    </a:stretch>
                  </pic:blipFill>
                  <pic:spPr>
                    <a:xfrm>
                      <a:off x="0" y="0"/>
                      <a:ext cx="4091305" cy="2778125"/>
                    </a:xfrm>
                    <a:prstGeom prst="rect">
                      <a:avLst/>
                    </a:prstGeom>
                  </pic:spPr>
                </pic:pic>
              </a:graphicData>
            </a:graphic>
          </wp:anchor>
        </w:drawing>
      </w:r>
      <w:r>
        <w:rPr>
          <w:rFonts w:hint="eastAsia" w:ascii="楷体_GB2312" w:hAnsi="楷体_GB2312" w:eastAsia="楷体_GB2312" w:cs="楷体_GB2312"/>
          <w:kern w:val="2"/>
          <w:sz w:val="32"/>
          <w:szCs w:val="32"/>
          <w:lang w:eastAsia="zh-CN"/>
        </w:rPr>
        <w:t>（二）</w:t>
      </w:r>
      <w:r>
        <w:rPr>
          <w:rFonts w:hint="eastAsia" w:ascii="楷体_GB2312" w:hAnsi="楷体_GB2312" w:eastAsia="楷体_GB2312" w:cs="楷体_GB2312"/>
          <w:kern w:val="2"/>
          <w:sz w:val="32"/>
          <w:szCs w:val="32"/>
        </w:rPr>
        <w:t>推动政务新媒体规范有序发展。</w:t>
      </w:r>
      <w:r>
        <w:rPr>
          <w:rFonts w:hint="eastAsia" w:ascii="仿宋_GB2312" w:hAnsi="仿宋_GB2312" w:cs="仿宋_GB2312"/>
          <w:kern w:val="2"/>
          <w:sz w:val="32"/>
          <w:szCs w:val="32"/>
        </w:rPr>
        <w:t>围绕提升我市政务新媒体服务功能和吸引力的相关措施意见，做好我市政务新媒体的管理工作，</w:t>
      </w:r>
      <w:r>
        <w:rPr>
          <w:rFonts w:hint="eastAsia" w:ascii="仿宋_GB2312" w:hAnsi="仿宋_GB2312" w:cs="仿宋_GB2312"/>
          <w:kern w:val="2"/>
          <w:sz w:val="32"/>
          <w:szCs w:val="32"/>
          <w:lang w:eastAsia="zh-CN"/>
        </w:rPr>
        <w:t>打造政务新媒体联盟</w:t>
      </w:r>
      <w:r>
        <w:rPr>
          <w:rFonts w:hint="eastAsia" w:ascii="仿宋_GB2312" w:hAnsi="仿宋_GB2312" w:cs="仿宋_GB2312"/>
          <w:kern w:val="2"/>
          <w:sz w:val="32"/>
          <w:szCs w:val="32"/>
        </w:rPr>
        <w:t>，丰富政务新媒体内容</w:t>
      </w:r>
      <w:r>
        <w:rPr>
          <w:rFonts w:hint="eastAsia" w:ascii="仿宋_GB2312" w:hAnsi="仿宋_GB2312" w:cs="仿宋_GB2312"/>
          <w:kern w:val="2"/>
          <w:sz w:val="32"/>
          <w:szCs w:val="32"/>
          <w:lang w:eastAsia="zh-CN"/>
        </w:rPr>
        <w:t>及形式</w:t>
      </w:r>
      <w:r>
        <w:rPr>
          <w:rFonts w:hint="eastAsia" w:ascii="仿宋_GB2312" w:hAnsi="仿宋_GB2312" w:cs="仿宋_GB2312"/>
          <w:kern w:val="2"/>
          <w:sz w:val="32"/>
          <w:szCs w:val="32"/>
        </w:rPr>
        <w:t>，</w:t>
      </w:r>
      <w:r>
        <w:rPr>
          <w:rFonts w:hint="eastAsia" w:ascii="仿宋_GB2312" w:hAnsi="仿宋_GB2312" w:cs="仿宋_GB2312"/>
          <w:kern w:val="2"/>
          <w:sz w:val="32"/>
          <w:szCs w:val="32"/>
          <w:lang w:eastAsia="zh-CN"/>
        </w:rPr>
        <w:t>加强平台互动交流，</w:t>
      </w:r>
      <w:r>
        <w:rPr>
          <w:rFonts w:hint="eastAsia" w:ascii="仿宋_GB2312" w:hAnsi="仿宋_GB2312" w:cs="仿宋_GB2312"/>
          <w:kern w:val="2"/>
          <w:sz w:val="32"/>
          <w:szCs w:val="32"/>
        </w:rPr>
        <w:t>不断改进</w:t>
      </w:r>
      <w:r>
        <w:rPr>
          <w:rFonts w:hint="eastAsia" w:ascii="仿宋_GB2312" w:hAnsi="仿宋_GB2312" w:cs="仿宋_GB2312"/>
          <w:kern w:val="2"/>
          <w:sz w:val="32"/>
          <w:szCs w:val="32"/>
          <w:lang w:eastAsia="zh-CN"/>
        </w:rPr>
        <w:t>和</w:t>
      </w:r>
      <w:r>
        <w:rPr>
          <w:rFonts w:hint="eastAsia" w:ascii="仿宋_GB2312" w:hAnsi="仿宋_GB2312" w:cs="仿宋_GB2312"/>
          <w:kern w:val="2"/>
          <w:sz w:val="32"/>
          <w:szCs w:val="32"/>
        </w:rPr>
        <w:t>完善政务新媒体舆论引导机制体制，加强政务新媒体人才培养，打造一支</w:t>
      </w:r>
      <w:r>
        <w:rPr>
          <w:rFonts w:hint="eastAsia" w:ascii="仿宋_GB2312" w:hAnsi="仿宋_GB2312" w:cs="仿宋_GB2312"/>
          <w:kern w:val="2"/>
          <w:sz w:val="32"/>
          <w:szCs w:val="32"/>
          <w:lang w:eastAsia="zh-CN"/>
        </w:rPr>
        <w:t>政治站位高、责任意识强、能力素养好的专业化新媒体团队，</w:t>
      </w:r>
      <w:r>
        <w:rPr>
          <w:rFonts w:hint="eastAsia" w:ascii="仿宋_GB2312" w:hAnsi="仿宋_GB2312" w:cs="仿宋_GB2312"/>
          <w:kern w:val="2"/>
          <w:sz w:val="32"/>
          <w:szCs w:val="32"/>
        </w:rPr>
        <w:t>不断提升政务新媒体的舆论传播力、引导力、影响力</w:t>
      </w:r>
      <w:r>
        <w:rPr>
          <w:rFonts w:hint="eastAsia" w:ascii="仿宋_GB2312" w:hAnsi="仿宋_GB2312" w:cs="仿宋_GB2312"/>
          <w:kern w:val="2"/>
          <w:sz w:val="32"/>
          <w:szCs w:val="32"/>
          <w:lang w:eastAsia="zh-CN"/>
        </w:rPr>
        <w:t>和</w:t>
      </w:r>
      <w:r>
        <w:rPr>
          <w:rFonts w:hint="eastAsia" w:ascii="仿宋_GB2312" w:hAnsi="仿宋_GB2312" w:cs="仿宋_GB2312"/>
          <w:kern w:val="2"/>
          <w:sz w:val="32"/>
          <w:szCs w:val="32"/>
        </w:rPr>
        <w:t>公信力。</w:t>
      </w:r>
    </w:p>
    <w:p>
      <w:pPr>
        <w:pStyle w:val="5"/>
        <w:widowControl/>
        <w:spacing w:line="560" w:lineRule="exact"/>
        <w:ind w:firstLine="632"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rPr>
        <w:t>（三）努力提升政务服务标准化水平。</w:t>
      </w:r>
      <w:r>
        <w:rPr>
          <w:rFonts w:hint="eastAsia" w:ascii="仿宋_GB2312" w:hAnsi="仿宋_GB2312" w:eastAsia="仿宋_GB2312" w:cs="仿宋_GB2312"/>
          <w:kern w:val="2"/>
          <w:sz w:val="32"/>
          <w:szCs w:val="32"/>
          <w:lang w:val="en-US" w:eastAsia="zh-CN" w:bidi="ar-SA"/>
        </w:rPr>
        <w:t>通过线上线下全面准确公开政务服务事项、办事指南、办事流程、办事机构等信息。推行政务服务一次告知、信息主动推送等工作方式，让办事群众对事前准备清晰明了、事中进展实时掌握、事后结果及时获知。以为企业和群众“办好一件事”为标准，对办事服务信息加以集成、优化、简化，汇总编制办事一本通，并向社会公开，最大限度利企便民。</w:t>
      </w:r>
    </w:p>
    <w:sectPr>
      <w:footerReference r:id="rId5" w:type="default"/>
      <w:footerReference r:id="rId6" w:type="even"/>
      <w:pgSz w:w="11906" w:h="16838"/>
      <w:pgMar w:top="2098" w:right="1531" w:bottom="1984" w:left="1531" w:header="851" w:footer="1418"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20" w:rightChars="100"/>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Pr>
        <w:rFonts w:ascii="宋体" w:hAnsi="宋体" w:eastAsia="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20" w:rightChars="100"/>
      <w:jc w:val="right"/>
      <w:rPr>
        <w:rFonts w:ascii="宋体" w:hAnsi="宋体" w:eastAsia="宋体"/>
        <w:sz w:val="28"/>
        <w:szCs w:val="28"/>
      </w:rPr>
    </w:pPr>
    <w:r>
      <w:rPr>
        <w:rFonts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 PAGE </w:instrText>
    </w:r>
    <w:r>
      <w:rPr>
        <w:rStyle w:val="8"/>
        <w:rFonts w:ascii="宋体" w:hAnsi="宋体" w:eastAsia="宋体"/>
        <w:sz w:val="28"/>
        <w:szCs w:val="28"/>
      </w:rPr>
      <w:fldChar w:fldCharType="separate"/>
    </w:r>
    <w:r>
      <w:rPr>
        <w:rStyle w:val="8"/>
        <w:rFonts w:ascii="宋体" w:hAnsi="宋体" w:eastAsia="宋体"/>
        <w:sz w:val="28"/>
        <w:szCs w:val="28"/>
      </w:rPr>
      <w:t>3</w:t>
    </w:r>
    <w:r>
      <w:rPr>
        <w:rStyle w:val="8"/>
        <w:rFonts w:ascii="宋体" w:hAnsi="宋体" w:eastAsia="宋体"/>
        <w:sz w:val="28"/>
        <w:szCs w:val="28"/>
      </w:rPr>
      <w:fldChar w:fldCharType="end"/>
    </w:r>
    <w:r>
      <w:rPr>
        <w:rFonts w:ascii="宋体" w:hAnsi="宋体" w:eastAsia="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Pr>
        <w:rFonts w:ascii="宋体" w:hAnsi="宋体" w:eastAsia="宋体"/>
      </w:rPr>
    </w:pPr>
    <w:r>
      <w:rPr>
        <w:rFonts w:ascii="宋体" w:hAnsi="宋体" w:eastAsia="宋体"/>
        <w:sz w:val="28"/>
        <w:szCs w:val="28"/>
      </w:rPr>
      <w:t xml:space="preserve">— </w:t>
    </w:r>
    <w:r>
      <w:rPr>
        <w:rStyle w:val="8"/>
        <w:rFonts w:ascii="宋体" w:hAnsi="宋体" w:eastAsia="宋体"/>
        <w:sz w:val="28"/>
        <w:szCs w:val="28"/>
      </w:rPr>
      <w:fldChar w:fldCharType="begin"/>
    </w:r>
    <w:r>
      <w:rPr>
        <w:rStyle w:val="8"/>
        <w:rFonts w:ascii="宋体" w:hAnsi="宋体" w:eastAsia="宋体"/>
        <w:sz w:val="28"/>
        <w:szCs w:val="28"/>
      </w:rPr>
      <w:instrText xml:space="preserve"> PAGE </w:instrText>
    </w:r>
    <w:r>
      <w:rPr>
        <w:rStyle w:val="8"/>
        <w:rFonts w:ascii="宋体" w:hAnsi="宋体" w:eastAsia="宋体"/>
        <w:sz w:val="28"/>
        <w:szCs w:val="28"/>
      </w:rPr>
      <w:fldChar w:fldCharType="separate"/>
    </w:r>
    <w:r>
      <w:rPr>
        <w:rStyle w:val="8"/>
        <w:rFonts w:ascii="宋体" w:hAnsi="宋体" w:eastAsia="宋体"/>
        <w:sz w:val="28"/>
        <w:szCs w:val="28"/>
      </w:rPr>
      <w:t>2</w:t>
    </w:r>
    <w:r>
      <w:rPr>
        <w:rStyle w:val="8"/>
        <w:rFonts w:ascii="宋体" w:hAnsi="宋体" w:eastAsia="宋体"/>
        <w:sz w:val="28"/>
        <w:szCs w:val="28"/>
      </w:rPr>
      <w:fldChar w:fldCharType="end"/>
    </w:r>
    <w:r>
      <w:rPr>
        <w:rFonts w:ascii="宋体" w:hAnsi="宋体" w:eastAsia="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87484"/>
    <w:rsid w:val="001C4247"/>
    <w:rsid w:val="001E52B5"/>
    <w:rsid w:val="001E533C"/>
    <w:rsid w:val="00262AEE"/>
    <w:rsid w:val="002802D6"/>
    <w:rsid w:val="002A5578"/>
    <w:rsid w:val="004B450E"/>
    <w:rsid w:val="004E766D"/>
    <w:rsid w:val="005F00C4"/>
    <w:rsid w:val="008527AE"/>
    <w:rsid w:val="00932674"/>
    <w:rsid w:val="00B20E15"/>
    <w:rsid w:val="00D00A87"/>
    <w:rsid w:val="00D0796F"/>
    <w:rsid w:val="00F32CD4"/>
    <w:rsid w:val="018E0EDF"/>
    <w:rsid w:val="02F546DB"/>
    <w:rsid w:val="0AB860CA"/>
    <w:rsid w:val="0B285FA8"/>
    <w:rsid w:val="0F307624"/>
    <w:rsid w:val="0F4B3BE1"/>
    <w:rsid w:val="0FD05526"/>
    <w:rsid w:val="12F87484"/>
    <w:rsid w:val="13F34C50"/>
    <w:rsid w:val="18DD0D10"/>
    <w:rsid w:val="199222A9"/>
    <w:rsid w:val="1AC83FE4"/>
    <w:rsid w:val="1BA15B46"/>
    <w:rsid w:val="1CD15BE7"/>
    <w:rsid w:val="221F6657"/>
    <w:rsid w:val="24A268A9"/>
    <w:rsid w:val="2730491D"/>
    <w:rsid w:val="28062446"/>
    <w:rsid w:val="29A32953"/>
    <w:rsid w:val="29C603DF"/>
    <w:rsid w:val="2B705540"/>
    <w:rsid w:val="2CFE5868"/>
    <w:rsid w:val="33523D09"/>
    <w:rsid w:val="33AB1B00"/>
    <w:rsid w:val="37C22BA4"/>
    <w:rsid w:val="3A05477B"/>
    <w:rsid w:val="3BC208A8"/>
    <w:rsid w:val="3C991096"/>
    <w:rsid w:val="41E845EE"/>
    <w:rsid w:val="42330CED"/>
    <w:rsid w:val="45110652"/>
    <w:rsid w:val="476F4DA4"/>
    <w:rsid w:val="4C920A0C"/>
    <w:rsid w:val="4EF66949"/>
    <w:rsid w:val="4F93551C"/>
    <w:rsid w:val="5165678B"/>
    <w:rsid w:val="52587404"/>
    <w:rsid w:val="52D452D6"/>
    <w:rsid w:val="58507582"/>
    <w:rsid w:val="5887794F"/>
    <w:rsid w:val="61085284"/>
    <w:rsid w:val="613229B0"/>
    <w:rsid w:val="61B4519D"/>
    <w:rsid w:val="61E17E8E"/>
    <w:rsid w:val="655A3488"/>
    <w:rsid w:val="66221B7E"/>
    <w:rsid w:val="6842025A"/>
    <w:rsid w:val="6AF211F2"/>
    <w:rsid w:val="6CE8171C"/>
    <w:rsid w:val="728F1DB8"/>
    <w:rsid w:val="746C7FED"/>
    <w:rsid w:val="76E67423"/>
    <w:rsid w:val="7D7429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0"/>
  </w:style>
  <w:style w:type="paragraph" w:styleId="3">
    <w:name w:val="footer"/>
    <w:basedOn w:val="1"/>
    <w:link w:val="25"/>
    <w:qFormat/>
    <w:uiPriority w:val="99"/>
    <w:pPr>
      <w:tabs>
        <w:tab w:val="center" w:pos="4153"/>
        <w:tab w:val="right" w:pos="8306"/>
      </w:tabs>
      <w:snapToGrid w:val="0"/>
      <w:jc w:val="left"/>
    </w:pPr>
    <w:rPr>
      <w:sz w:val="18"/>
      <w:szCs w:val="18"/>
    </w:rPr>
  </w:style>
  <w:style w:type="paragraph" w:styleId="4">
    <w:name w:val="header"/>
    <w:basedOn w:val="1"/>
    <w:link w:val="26"/>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jc w:val="left"/>
    </w:pPr>
    <w:rPr>
      <w:kern w:val="24"/>
      <w:sz w:val="24"/>
    </w:rPr>
  </w:style>
  <w:style w:type="character" w:styleId="8">
    <w:name w:val="page number"/>
    <w:basedOn w:val="7"/>
    <w:qFormat/>
    <w:uiPriority w:val="99"/>
    <w:rPr>
      <w:rFonts w:cs="Times New Roman"/>
    </w:rPr>
  </w:style>
  <w:style w:type="character" w:styleId="9">
    <w:name w:val="FollowedHyperlink"/>
    <w:basedOn w:val="7"/>
    <w:qFormat/>
    <w:uiPriority w:val="99"/>
    <w:rPr>
      <w:rFonts w:cs="Times New Roman"/>
      <w:color w:val="000000"/>
      <w:u w:val="none"/>
    </w:rPr>
  </w:style>
  <w:style w:type="character" w:styleId="10">
    <w:name w:val="Hyperlink"/>
    <w:basedOn w:val="7"/>
    <w:qFormat/>
    <w:uiPriority w:val="99"/>
    <w:rPr>
      <w:rFonts w:cs="Times New Roman"/>
      <w:color w:val="000000"/>
      <w:u w:val="none"/>
    </w:rPr>
  </w:style>
  <w:style w:type="character" w:styleId="11">
    <w:name w:val="HTML Code"/>
    <w:basedOn w:val="7"/>
    <w:qFormat/>
    <w:uiPriority w:val="99"/>
    <w:rPr>
      <w:rFonts w:ascii="Courier New" w:hAnsi="Courier New" w:cs="Times New Roman"/>
      <w:sz w:val="20"/>
    </w:rPr>
  </w:style>
  <w:style w:type="character" w:customStyle="1" w:styleId="12">
    <w:name w:val="bg02"/>
    <w:basedOn w:val="7"/>
    <w:qFormat/>
    <w:uiPriority w:val="99"/>
    <w:rPr>
      <w:rFonts w:cs="Times New Roman"/>
    </w:rPr>
  </w:style>
  <w:style w:type="character" w:customStyle="1" w:styleId="13">
    <w:name w:val="hover23"/>
    <w:basedOn w:val="7"/>
    <w:qFormat/>
    <w:uiPriority w:val="99"/>
    <w:rPr>
      <w:rFonts w:cs="Times New Roman"/>
      <w:color w:val="015293"/>
    </w:rPr>
  </w:style>
  <w:style w:type="character" w:customStyle="1" w:styleId="14">
    <w:name w:val="name"/>
    <w:basedOn w:val="7"/>
    <w:qFormat/>
    <w:uiPriority w:val="99"/>
    <w:rPr>
      <w:rFonts w:cs="Times New Roman"/>
      <w:color w:val="6A6A6A"/>
      <w:u w:val="single"/>
    </w:rPr>
  </w:style>
  <w:style w:type="character" w:customStyle="1" w:styleId="15">
    <w:name w:val="dates"/>
    <w:basedOn w:val="7"/>
    <w:qFormat/>
    <w:uiPriority w:val="99"/>
    <w:rPr>
      <w:rFonts w:cs="Times New Roman"/>
    </w:rPr>
  </w:style>
  <w:style w:type="character" w:customStyle="1" w:styleId="16">
    <w:name w:val="m01"/>
    <w:basedOn w:val="7"/>
    <w:qFormat/>
    <w:uiPriority w:val="99"/>
    <w:rPr>
      <w:rFonts w:cs="Times New Roman"/>
    </w:rPr>
  </w:style>
  <w:style w:type="character" w:customStyle="1" w:styleId="17">
    <w:name w:val="m011"/>
    <w:basedOn w:val="7"/>
    <w:qFormat/>
    <w:uiPriority w:val="99"/>
    <w:rPr>
      <w:rFonts w:cs="Times New Roman"/>
    </w:rPr>
  </w:style>
  <w:style w:type="character" w:customStyle="1" w:styleId="18">
    <w:name w:val="gwds_nopic"/>
    <w:basedOn w:val="7"/>
    <w:qFormat/>
    <w:uiPriority w:val="99"/>
    <w:rPr>
      <w:rFonts w:cs="Times New Roman"/>
    </w:rPr>
  </w:style>
  <w:style w:type="character" w:customStyle="1" w:styleId="19">
    <w:name w:val="font2"/>
    <w:basedOn w:val="7"/>
    <w:qFormat/>
    <w:uiPriority w:val="99"/>
    <w:rPr>
      <w:rFonts w:cs="Times New Roman"/>
    </w:rPr>
  </w:style>
  <w:style w:type="character" w:customStyle="1" w:styleId="20">
    <w:name w:val="font3"/>
    <w:basedOn w:val="7"/>
    <w:qFormat/>
    <w:uiPriority w:val="99"/>
    <w:rPr>
      <w:rFonts w:cs="Times New Roman"/>
    </w:rPr>
  </w:style>
  <w:style w:type="character" w:customStyle="1" w:styleId="21">
    <w:name w:val="more4"/>
    <w:basedOn w:val="7"/>
    <w:qFormat/>
    <w:uiPriority w:val="99"/>
    <w:rPr>
      <w:rFonts w:cs="Times New Roman"/>
      <w:color w:val="666666"/>
      <w:sz w:val="18"/>
      <w:szCs w:val="18"/>
    </w:rPr>
  </w:style>
  <w:style w:type="character" w:customStyle="1" w:styleId="22">
    <w:name w:val="tabg"/>
    <w:basedOn w:val="7"/>
    <w:qFormat/>
    <w:uiPriority w:val="99"/>
    <w:rPr>
      <w:rFonts w:cs="Times New Roman"/>
      <w:color w:val="FFFFFF"/>
      <w:sz w:val="27"/>
      <w:szCs w:val="27"/>
    </w:rPr>
  </w:style>
  <w:style w:type="character" w:customStyle="1" w:styleId="23">
    <w:name w:val="bg01"/>
    <w:basedOn w:val="7"/>
    <w:qFormat/>
    <w:uiPriority w:val="99"/>
    <w:rPr>
      <w:rFonts w:cs="Times New Roman"/>
    </w:rPr>
  </w:style>
  <w:style w:type="character" w:customStyle="1" w:styleId="24">
    <w:name w:val="laypage_curr"/>
    <w:basedOn w:val="7"/>
    <w:qFormat/>
    <w:uiPriority w:val="99"/>
    <w:rPr>
      <w:rFonts w:cs="Times New Roman"/>
      <w:color w:val="FFFDF4"/>
      <w:shd w:val="clear" w:color="auto" w:fill="0B67A6"/>
    </w:rPr>
  </w:style>
  <w:style w:type="character" w:customStyle="1" w:styleId="25">
    <w:name w:val="页脚 Char"/>
    <w:basedOn w:val="7"/>
    <w:link w:val="3"/>
    <w:semiHidden/>
    <w:qFormat/>
    <w:uiPriority w:val="99"/>
    <w:rPr>
      <w:rFonts w:ascii="Calibri" w:hAnsi="Calibri" w:eastAsia="仿宋_GB2312"/>
      <w:sz w:val="18"/>
      <w:szCs w:val="18"/>
    </w:rPr>
  </w:style>
  <w:style w:type="character" w:customStyle="1" w:styleId="26">
    <w:name w:val="页眉 Char"/>
    <w:basedOn w:val="7"/>
    <w:link w:val="4"/>
    <w:semiHidden/>
    <w:qFormat/>
    <w:uiPriority w:val="99"/>
    <w:rPr>
      <w:rFonts w:ascii="Calibri" w:hAnsi="Calibri" w:eastAsia="仿宋_GB2312"/>
      <w:sz w:val="18"/>
      <w:szCs w:val="18"/>
    </w:rPr>
  </w:style>
  <w:style w:type="character" w:customStyle="1" w:styleId="27">
    <w:name w:val="font21"/>
    <w:basedOn w:val="7"/>
    <w:qFormat/>
    <w:uiPriority w:val="0"/>
    <w:rPr>
      <w:rFonts w:hint="eastAsia" w:ascii="仿宋_GB2312" w:eastAsia="仿宋_GB2312" w:cs="仿宋_GB2312"/>
      <w:color w:val="000000"/>
      <w:sz w:val="24"/>
      <w:szCs w:val="24"/>
      <w:u w:val="none"/>
    </w:rPr>
  </w:style>
  <w:style w:type="character" w:customStyle="1" w:styleId="28">
    <w:name w:val="font31"/>
    <w:basedOn w:val="7"/>
    <w:qFormat/>
    <w:uiPriority w:val="0"/>
    <w:rPr>
      <w:rFonts w:hint="eastAsia" w:ascii="宋体" w:hAnsi="宋体" w:eastAsia="宋体" w:cs="宋体"/>
      <w:color w:val="000000"/>
      <w:sz w:val="24"/>
      <w:szCs w:val="24"/>
      <w:u w:val="none"/>
    </w:rPr>
  </w:style>
  <w:style w:type="character" w:customStyle="1" w:styleId="29">
    <w:name w:val="font41"/>
    <w:basedOn w:val="7"/>
    <w:qFormat/>
    <w:uiPriority w:val="0"/>
    <w:rPr>
      <w:rFonts w:hint="default" w:ascii="Arial" w:hAnsi="Arial" w:cs="Arial"/>
      <w:color w:val="000000"/>
      <w:sz w:val="24"/>
      <w:szCs w:val="24"/>
      <w:u w:val="none"/>
    </w:rPr>
  </w:style>
  <w:style w:type="character" w:customStyle="1" w:styleId="30">
    <w:name w:val="font11"/>
    <w:basedOn w:val="7"/>
    <w:qFormat/>
    <w:uiPriority w:val="0"/>
    <w:rPr>
      <w:rFonts w:hint="eastAsia"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5155</Words>
  <Characters>5630</Characters>
  <Lines>56</Lines>
  <Paragraphs>15</Paragraphs>
  <TotalTime>21</TotalTime>
  <ScaleCrop>false</ScaleCrop>
  <LinksUpToDate>false</LinksUpToDate>
  <CharactersWithSpaces>5651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2020-03-10T08:03:00Z</dcterms:created>
  <dc:creator>诗人与熊</dc:creator>
  <cp:lastModifiedBy>诗人与熊</cp:lastModifiedBy>
  <cp:lastPrinted>2020-06-22T13:16:00Z</cp:lastPrinted>
  <dcterms:modified xsi:type="dcterms:W3CDTF">2020-07-11T09:09:33Z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