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widowControl w:val="0"/>
        <w:spacing w:before="0" w:beforeAutospacing="0" w:after="0" w:afterAutospacing="0" w:line="560" w:lineRule="exact"/>
        <w:jc w:val="center"/>
        <w:rPr>
          <w:rFonts w:hint="eastAsia" w:ascii="方正小标宋简体" w:hAnsi="方正小标宋简体" w:eastAsia="方正小标宋简体" w:cs="方正小标宋简体"/>
          <w:bCs/>
          <w:color w:val="auto"/>
          <w:sz w:val="44"/>
          <w:szCs w:val="44"/>
          <w:lang w:eastAsia="zh-CN"/>
        </w:rPr>
        <w:sectPr>
          <w:footerReference r:id="rId3" w:type="default"/>
          <w:pgSz w:w="11906" w:h="16838"/>
          <w:pgMar w:top="2098" w:right="1531" w:bottom="1984" w:left="1531" w:header="851" w:footer="992" w:gutter="0"/>
          <w:pgBorders>
            <w:top w:val="none" w:sz="0" w:space="0"/>
            <w:left w:val="none" w:sz="0" w:space="0"/>
            <w:bottom w:val="none" w:sz="0" w:space="0"/>
            <w:right w:val="none" w:sz="0" w:space="0"/>
          </w:pgBorders>
          <w:pgNumType w:fmt="numberInDash"/>
          <w:cols w:space="425" w:num="1"/>
          <w:docGrid w:type="lines" w:linePitch="312" w:charSpace="0"/>
        </w:sectPr>
      </w:pPr>
      <w:r>
        <w:rPr>
          <w:rFonts w:hint="eastAsia" w:ascii="方正小标宋简体" w:hAnsi="方正小标宋简体" w:eastAsia="方正小标宋简体" w:cs="方正小标宋简体"/>
          <w:bCs/>
          <w:color w:val="auto"/>
          <w:sz w:val="44"/>
          <w:szCs w:val="44"/>
          <w:lang w:eastAsia="zh-CN"/>
        </w:rPr>
        <w:drawing>
          <wp:anchor distT="0" distB="0" distL="114300" distR="114300" simplePos="0" relativeHeight="251669504" behindDoc="0" locked="0" layoutInCell="1" allowOverlap="1">
            <wp:simplePos x="0" y="0"/>
            <wp:positionH relativeFrom="column">
              <wp:posOffset>-989965</wp:posOffset>
            </wp:positionH>
            <wp:positionV relativeFrom="paragraph">
              <wp:posOffset>-1348740</wp:posOffset>
            </wp:positionV>
            <wp:extent cx="7595235" cy="10744200"/>
            <wp:effectExtent l="0" t="0" r="9525" b="0"/>
            <wp:wrapNone/>
            <wp:docPr id="14" name="图片 14" descr="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封面"/>
                    <pic:cNvPicPr>
                      <a:picLocks noChangeAspect="1"/>
                    </pic:cNvPicPr>
                  </pic:nvPicPr>
                  <pic:blipFill>
                    <a:blip r:embed="rId6"/>
                    <a:stretch>
                      <a:fillRect/>
                    </a:stretch>
                  </pic:blipFill>
                  <pic:spPr>
                    <a:xfrm>
                      <a:off x="0" y="0"/>
                      <a:ext cx="7595235" cy="10744200"/>
                    </a:xfrm>
                    <a:prstGeom prst="rect">
                      <a:avLst/>
                    </a:prstGeom>
                  </pic:spPr>
                </pic:pic>
              </a:graphicData>
            </a:graphic>
          </wp:anchor>
        </w:drawing>
      </w:r>
    </w:p>
    <w:p>
      <w:pPr>
        <w:pStyle w:val="6"/>
        <w:widowControl w:val="0"/>
        <w:spacing w:before="0" w:beforeAutospacing="0" w:after="0" w:afterAutospacing="0" w:line="56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lang w:eastAsia="zh-CN"/>
        </w:rPr>
        <w:t>烟台</w:t>
      </w:r>
      <w:r>
        <w:rPr>
          <w:rFonts w:hint="eastAsia" w:ascii="方正小标宋简体" w:hAnsi="方正小标宋简体" w:eastAsia="方正小标宋简体" w:cs="方正小标宋简体"/>
          <w:bCs/>
          <w:color w:val="auto"/>
          <w:sz w:val="44"/>
          <w:szCs w:val="44"/>
          <w:lang w:val="en-US" w:eastAsia="zh-CN"/>
        </w:rPr>
        <w:t>市</w:t>
      </w:r>
      <w:r>
        <w:rPr>
          <w:rFonts w:hint="eastAsia" w:ascii="方正小标宋简体" w:hAnsi="方正小标宋简体" w:eastAsia="方正小标宋简体" w:cs="方正小标宋简体"/>
          <w:bCs/>
          <w:color w:val="auto"/>
          <w:sz w:val="44"/>
          <w:szCs w:val="44"/>
        </w:rPr>
        <w:t>人民政府</w:t>
      </w:r>
    </w:p>
    <w:p>
      <w:pPr>
        <w:pStyle w:val="6"/>
        <w:widowControl w:val="0"/>
        <w:spacing w:before="0" w:beforeAutospacing="0" w:after="0" w:afterAutospacing="0" w:line="560" w:lineRule="exact"/>
        <w:jc w:val="center"/>
        <w:rPr>
          <w:rFonts w:ascii="方正小标宋简体" w:hAnsi="方正小标宋简体" w:eastAsia="方正小标宋简体" w:cs="方正小标宋简体"/>
          <w:bCs/>
          <w:color w:val="auto"/>
          <w:sz w:val="44"/>
          <w:szCs w:val="44"/>
        </w:rPr>
      </w:pPr>
      <w:r>
        <w:rPr>
          <w:rFonts w:ascii="方正小标宋简体" w:hAnsi="方正小标宋简体" w:eastAsia="方正小标宋简体" w:cs="方正小标宋简体"/>
          <w:bCs/>
          <w:color w:val="auto"/>
          <w:sz w:val="44"/>
          <w:szCs w:val="44"/>
        </w:rPr>
        <w:t>2020</w:t>
      </w:r>
      <w:r>
        <w:rPr>
          <w:rFonts w:hint="eastAsia" w:ascii="方正小标宋简体" w:hAnsi="方正小标宋简体" w:eastAsia="方正小标宋简体" w:cs="方正小标宋简体"/>
          <w:bCs/>
          <w:color w:val="auto"/>
          <w:sz w:val="44"/>
          <w:szCs w:val="44"/>
        </w:rPr>
        <w:t>年政府信息公开工作年度报告</w:t>
      </w:r>
    </w:p>
    <w:p>
      <w:pPr>
        <w:spacing w:line="560" w:lineRule="exact"/>
        <w:ind w:firstLine="640" w:firstLineChars="200"/>
        <w:rPr>
          <w:rFonts w:hint="eastAsia" w:ascii="仿宋_GB2312" w:hAnsi="仿宋_GB2312" w:eastAsia="仿宋_GB2312" w:cs="仿宋_GB2312"/>
          <w:color w:val="auto"/>
          <w:sz w:val="32"/>
          <w:szCs w:val="32"/>
        </w:rPr>
      </w:pPr>
    </w:p>
    <w:p>
      <w:pPr>
        <w:spacing w:line="560" w:lineRule="exac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本报告是根据《中华人民共和国政府信息公开条例》（国务院令第711号）规定和国务院办公厅政府信息与政务公开办公室《关于政府信息公开工作年度报告有关事项的通知》（国办公开办函〔2019〕60号）要求，由烟台市人民政府综合市本级、各</w:t>
      </w:r>
      <w:r>
        <w:rPr>
          <w:rFonts w:hint="eastAsia" w:ascii="仿宋_GB2312" w:hAnsi="仿宋_GB2312" w:eastAsia="仿宋_GB2312" w:cs="仿宋_GB2312"/>
          <w:color w:val="auto"/>
          <w:sz w:val="32"/>
          <w:szCs w:val="32"/>
          <w:lang w:eastAsia="zh-CN"/>
        </w:rPr>
        <w:t>区市</w:t>
      </w:r>
      <w:r>
        <w:rPr>
          <w:rFonts w:hint="eastAsia" w:ascii="仿宋_GB2312" w:hAnsi="仿宋_GB2312" w:eastAsia="仿宋_GB2312" w:cs="仿宋_GB2312"/>
          <w:color w:val="auto"/>
          <w:sz w:val="32"/>
          <w:szCs w:val="32"/>
        </w:rPr>
        <w:t>政府20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年政府信息公开年度报告编制而成。报告共分总体情况、主动公开政府信息情况、收到和处理政府信息公开申请情况、政府信息公开行政复议</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行政诉讼情况、存在</w:t>
      </w:r>
      <w:r>
        <w:rPr>
          <w:rFonts w:hint="eastAsia" w:ascii="仿宋_GB2312" w:hAnsi="仿宋_GB2312" w:eastAsia="仿宋_GB2312" w:cs="仿宋_GB2312"/>
          <w:color w:val="auto"/>
          <w:sz w:val="32"/>
          <w:szCs w:val="32"/>
          <w:lang w:eastAsia="zh-CN"/>
        </w:rPr>
        <w:t>的</w:t>
      </w:r>
      <w:r>
        <w:rPr>
          <w:rFonts w:hint="eastAsia" w:ascii="仿宋_GB2312" w:hAnsi="仿宋_GB2312" w:eastAsia="仿宋_GB2312" w:cs="仿宋_GB2312"/>
          <w:color w:val="auto"/>
          <w:sz w:val="32"/>
          <w:szCs w:val="32"/>
        </w:rPr>
        <w:t>主要问题及改进情况，其他需要报告的事项等六大版块。</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报告所列数据统计期限自20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年1月1日起至20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年12月31日止。</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报告电子版可在烟台市人民政府门户网站（www.yantai.gov.cn）下载。</w:t>
      </w:r>
    </w:p>
    <w:p>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outlineLvl w:val="9"/>
        <w:rPr>
          <w:rFonts w:hint="eastAsia" w:ascii="黑体" w:hAnsi="黑体" w:eastAsia="黑体" w:cs="黑体"/>
          <w:bCs/>
          <w:color w:val="auto"/>
          <w:sz w:val="32"/>
          <w:szCs w:val="32"/>
        </w:rPr>
      </w:pPr>
      <w:r>
        <w:rPr>
          <w:rFonts w:hint="eastAsia" w:ascii="仿宋_GB2312" w:hAnsi="仿宋_GB2312" w:eastAsia="仿宋_GB2312" w:cs="仿宋_GB2312"/>
          <w:color w:val="auto"/>
          <w:sz w:val="32"/>
          <w:szCs w:val="32"/>
        </w:rPr>
        <w:t>如对报告有任何疑问，请与烟台市</w:t>
      </w:r>
      <w:r>
        <w:rPr>
          <w:rFonts w:hint="eastAsia" w:ascii="仿宋_GB2312" w:hAnsi="仿宋_GB2312" w:eastAsia="仿宋_GB2312" w:cs="仿宋_GB2312"/>
          <w:color w:val="auto"/>
          <w:sz w:val="32"/>
          <w:szCs w:val="32"/>
          <w:lang w:eastAsia="zh-CN"/>
        </w:rPr>
        <w:t>政府办公室</w:t>
      </w:r>
      <w:r>
        <w:rPr>
          <w:rFonts w:hint="eastAsia" w:ascii="仿宋_GB2312" w:hAnsi="仿宋_GB2312" w:eastAsia="仿宋_GB2312" w:cs="仿宋_GB2312"/>
          <w:color w:val="auto"/>
          <w:sz w:val="32"/>
          <w:szCs w:val="32"/>
        </w:rPr>
        <w:t>政务公开办公室联系（电话：0535-6788157；电子邮箱：ytzwgk@yt.shandong.cn）。</w:t>
      </w:r>
    </w:p>
    <w:p>
      <w:pPr>
        <w:pStyle w:val="6"/>
        <w:widowControl w:val="0"/>
        <w:spacing w:before="0" w:beforeAutospacing="0" w:after="0" w:afterAutospacing="0" w:line="560" w:lineRule="exact"/>
        <w:ind w:firstLine="640" w:firstLineChars="200"/>
        <w:jc w:val="both"/>
        <w:rPr>
          <w:rFonts w:ascii="黑体" w:hAnsi="黑体" w:eastAsia="黑体" w:cs="黑体"/>
          <w:bCs/>
          <w:color w:val="auto"/>
          <w:sz w:val="32"/>
          <w:szCs w:val="32"/>
        </w:rPr>
      </w:pPr>
      <w:r>
        <w:rPr>
          <w:rFonts w:hint="eastAsia" w:ascii="黑体" w:hAnsi="黑体" w:eastAsia="黑体" w:cs="黑体"/>
          <w:bCs/>
          <w:color w:val="auto"/>
          <w:sz w:val="32"/>
          <w:szCs w:val="32"/>
        </w:rPr>
        <w:t>一、总体情况</w:t>
      </w:r>
    </w:p>
    <w:p>
      <w:pPr>
        <w:spacing w:line="560" w:lineRule="exact"/>
        <w:ind w:firstLine="640" w:firstLineChars="200"/>
        <w:rPr>
          <w:rFonts w:hint="eastAsia"/>
          <w:lang w:val="en-US" w:eastAsia="zh-CN"/>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烟台市</w:t>
      </w:r>
      <w:r>
        <w:rPr>
          <w:rFonts w:hint="eastAsia" w:ascii="仿宋_GB2312" w:hAnsi="仿宋_GB2312" w:eastAsia="仿宋_GB2312" w:cs="仿宋_GB2312"/>
          <w:color w:val="auto"/>
          <w:sz w:val="32"/>
          <w:szCs w:val="32"/>
        </w:rPr>
        <w:t>以习近平新时代中国特色社会主义思想为指导，全面贯彻党的十九大和十九届二中、三中、四中</w:t>
      </w:r>
      <w:r>
        <w:rPr>
          <w:rFonts w:hint="eastAsia" w:ascii="仿宋_GB2312" w:hAnsi="仿宋_GB2312" w:eastAsia="仿宋_GB2312" w:cs="仿宋_GB2312"/>
          <w:color w:val="auto"/>
          <w:sz w:val="32"/>
          <w:szCs w:val="32"/>
          <w:lang w:eastAsia="zh-CN"/>
        </w:rPr>
        <w:t>、五中</w:t>
      </w:r>
      <w:r>
        <w:rPr>
          <w:rFonts w:hint="eastAsia" w:ascii="仿宋_GB2312" w:hAnsi="仿宋_GB2312" w:eastAsia="仿宋_GB2312" w:cs="仿宋_GB2312"/>
          <w:color w:val="auto"/>
          <w:sz w:val="32"/>
          <w:szCs w:val="32"/>
        </w:rPr>
        <w:t>全会精神，认真落实党中央、国务院和省委、省政府全面推进政务公开的决策部署，</w:t>
      </w:r>
      <w:r>
        <w:rPr>
          <w:rFonts w:hint="eastAsia" w:ascii="仿宋_GB2312" w:hAnsi="仿宋_GB2312" w:eastAsia="仿宋_GB2312" w:cs="仿宋_GB2312"/>
          <w:color w:val="auto"/>
          <w:sz w:val="32"/>
          <w:szCs w:val="32"/>
          <w:lang w:eastAsia="zh-CN"/>
        </w:rPr>
        <w:t>准确执行</w:t>
      </w:r>
      <w:r>
        <w:rPr>
          <w:rFonts w:hint="eastAsia" w:ascii="仿宋_GB2312" w:hAnsi="仿宋_GB2312" w:eastAsia="仿宋_GB2312" w:cs="仿宋_GB2312"/>
          <w:color w:val="auto"/>
          <w:sz w:val="32"/>
          <w:szCs w:val="32"/>
        </w:rPr>
        <w:t>新修订的《政府信息公开条例》，紧紧围绕市委、市政府中心工作和企业、群众关注关切，统筹推进信息</w:t>
      </w:r>
      <w:r>
        <w:rPr>
          <w:rFonts w:hint="eastAsia" w:ascii="仿宋_GB2312" w:hAnsi="仿宋_GB2312" w:eastAsia="仿宋_GB2312" w:cs="仿宋_GB2312"/>
          <w:color w:val="auto"/>
          <w:sz w:val="32"/>
          <w:szCs w:val="32"/>
          <w:lang w:eastAsia="zh-CN"/>
        </w:rPr>
        <w:t>发布</w:t>
      </w:r>
      <w:r>
        <w:rPr>
          <w:rFonts w:hint="eastAsia" w:ascii="仿宋_GB2312" w:hAnsi="仿宋_GB2312" w:eastAsia="仿宋_GB2312" w:cs="仿宋_GB2312"/>
          <w:color w:val="auto"/>
          <w:sz w:val="32"/>
          <w:szCs w:val="32"/>
        </w:rPr>
        <w:t>、解读回应、平台建设等各项工作，</w:t>
      </w:r>
      <w:r>
        <w:rPr>
          <w:rFonts w:hint="eastAsia" w:ascii="仿宋_GB2312" w:hAnsi="仿宋_GB2312" w:eastAsia="仿宋_GB2312" w:cs="仿宋_GB2312"/>
          <w:i w:val="0"/>
          <w:caps w:val="0"/>
          <w:color w:val="auto"/>
          <w:spacing w:val="0"/>
          <w:sz w:val="32"/>
          <w:szCs w:val="32"/>
          <w:shd w:val="clear" w:color="auto" w:fill="FFFFFF"/>
        </w:rPr>
        <w:t>聚焦做好“六稳”工作、落实“六保”任务，着眼深化“放管服”改革优化营商环境，以公开促落实、促规范、促服务</w:t>
      </w:r>
      <w:r>
        <w:rPr>
          <w:rFonts w:hint="eastAsia" w:ascii="仿宋_GB2312" w:hAnsi="仿宋_GB2312" w:eastAsia="仿宋_GB2312" w:cs="仿宋_GB2312"/>
          <w:i w:val="0"/>
          <w:caps w:val="0"/>
          <w:color w:val="auto"/>
          <w:spacing w:val="0"/>
          <w:sz w:val="32"/>
          <w:szCs w:val="32"/>
          <w:u w:val="none"/>
          <w:lang w:eastAsia="zh-CN"/>
        </w:rPr>
        <w:t>，</w:t>
      </w:r>
      <w:r>
        <w:rPr>
          <w:rFonts w:hint="eastAsia" w:ascii="仿宋_GB2312" w:hAnsi="仿宋_GB2312" w:eastAsia="仿宋_GB2312" w:cs="仿宋_GB2312"/>
          <w:color w:val="auto"/>
          <w:sz w:val="32"/>
          <w:szCs w:val="32"/>
        </w:rPr>
        <w:t>全市政府信息公开工作取得新的成效。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1.主动公开方面</w:t>
      </w:r>
    </w:p>
    <w:p>
      <w:pPr>
        <w:spacing w:line="560" w:lineRule="exact"/>
        <w:ind w:firstLine="640" w:firstLineChars="200"/>
        <w:rPr>
          <w:rFonts w:hint="eastAsia" w:ascii="仿宋_GB2312" w:hAnsi="仿宋_GB2312" w:eastAsia="仿宋_GB2312" w:cs="仿宋_GB2312"/>
          <w:b/>
          <w:bCs/>
          <w:color w:val="auto"/>
          <w:kern w:val="2"/>
          <w:sz w:val="32"/>
          <w:szCs w:val="32"/>
          <w:lang w:val="en-US" w:eastAsia="zh-CN" w:bidi="ar-SA"/>
        </w:rPr>
      </w:pPr>
      <w:r>
        <w:rPr>
          <w:rFonts w:hint="eastAsia" w:ascii="仿宋_GB2312" w:hAnsi="仿宋_GB2312" w:eastAsia="仿宋_GB2312" w:cs="仿宋_GB2312"/>
          <w:color w:val="auto"/>
          <w:sz w:val="32"/>
          <w:szCs w:val="32"/>
          <w:lang w:eastAsia="zh-CN"/>
        </w:rPr>
        <w:drawing>
          <wp:anchor distT="0" distB="0" distL="114300" distR="114300" simplePos="0" relativeHeight="251660288" behindDoc="0" locked="0" layoutInCell="1" allowOverlap="1">
            <wp:simplePos x="0" y="0"/>
            <wp:positionH relativeFrom="column">
              <wp:posOffset>24765</wp:posOffset>
            </wp:positionH>
            <wp:positionV relativeFrom="paragraph">
              <wp:posOffset>782955</wp:posOffset>
            </wp:positionV>
            <wp:extent cx="2828925" cy="4541520"/>
            <wp:effectExtent l="0" t="0" r="9525" b="11430"/>
            <wp:wrapSquare wrapText="bothSides"/>
            <wp:docPr id="3" name="图片 3" descr="烟台市政府门户网站 政府信息公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烟台市政府门户网站 政府信息公开"/>
                    <pic:cNvPicPr>
                      <a:picLocks noChangeAspect="1"/>
                    </pic:cNvPicPr>
                  </pic:nvPicPr>
                  <pic:blipFill>
                    <a:blip r:embed="rId7"/>
                    <a:srcRect l="11516" r="12568" b="747"/>
                    <a:stretch>
                      <a:fillRect/>
                    </a:stretch>
                  </pic:blipFill>
                  <pic:spPr>
                    <a:xfrm>
                      <a:off x="0" y="0"/>
                      <a:ext cx="2828925" cy="4541520"/>
                    </a:xfrm>
                    <a:prstGeom prst="rect">
                      <a:avLst/>
                    </a:prstGeom>
                  </pic:spPr>
                </pic:pic>
              </a:graphicData>
            </a:graphic>
          </wp:anchor>
        </w:drawing>
      </w: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烟台市</w:t>
      </w:r>
      <w:r>
        <w:rPr>
          <w:rFonts w:hint="eastAsia" w:ascii="仿宋_GB2312" w:hAnsi="仿宋_GB2312" w:eastAsia="仿宋_GB2312" w:cs="仿宋_GB2312"/>
          <w:i w:val="0"/>
          <w:caps w:val="0"/>
          <w:color w:val="auto"/>
          <w:spacing w:val="0"/>
          <w:sz w:val="32"/>
          <w:szCs w:val="32"/>
          <w:shd w:val="clear" w:color="auto" w:fill="FFFFFF"/>
        </w:rPr>
        <w:t>坚持以人民为中心的发展思想，</w:t>
      </w:r>
      <w:r>
        <w:rPr>
          <w:rFonts w:hint="eastAsia" w:ascii="仿宋_GB2312" w:hAnsi="仿宋_GB2312" w:eastAsia="仿宋_GB2312" w:cs="仿宋_GB2312"/>
          <w:i w:val="0"/>
          <w:caps w:val="0"/>
          <w:color w:val="auto"/>
          <w:spacing w:val="0"/>
          <w:sz w:val="32"/>
          <w:szCs w:val="32"/>
          <w:shd w:val="clear" w:color="auto" w:fill="FFFFFF"/>
          <w:lang w:eastAsia="zh-CN"/>
        </w:rPr>
        <w:t>深入</w:t>
      </w:r>
      <w:r>
        <w:rPr>
          <w:rFonts w:hint="eastAsia" w:ascii="仿宋_GB2312" w:hAnsi="仿宋_GB2312" w:eastAsia="仿宋_GB2312" w:cs="仿宋_GB2312"/>
          <w:color w:val="auto"/>
          <w:sz w:val="32"/>
          <w:szCs w:val="32"/>
        </w:rPr>
        <w:t>推进新时代政务公开，聚焦中心工作和重点领域，</w:t>
      </w:r>
      <w:r>
        <w:rPr>
          <w:rFonts w:hint="eastAsia" w:ascii="仿宋_GB2312" w:hAnsi="仿宋_GB2312" w:eastAsia="仿宋_GB2312" w:cs="仿宋_GB2312"/>
          <w:color w:val="auto"/>
          <w:sz w:val="32"/>
          <w:szCs w:val="32"/>
          <w:lang w:eastAsia="zh-CN"/>
        </w:rPr>
        <w:t>积极</w:t>
      </w:r>
      <w:r>
        <w:rPr>
          <w:rFonts w:hint="eastAsia" w:ascii="仿宋_GB2312" w:hAnsi="仿宋_GB2312" w:eastAsia="仿宋_GB2312" w:cs="仿宋_GB2312"/>
          <w:color w:val="auto"/>
          <w:sz w:val="32"/>
          <w:szCs w:val="32"/>
        </w:rPr>
        <w:t>拓展公开广度和深度，推进行政决策、执行、管理、服务和结果全过程公开。</w:t>
      </w:r>
      <w:r>
        <w:rPr>
          <w:rFonts w:hint="eastAsia" w:ascii="仿宋_GB2312" w:hAnsi="仿宋_GB2312" w:eastAsia="仿宋_GB2312" w:cs="仿宋_GB2312"/>
          <w:color w:val="auto"/>
          <w:sz w:val="32"/>
          <w:szCs w:val="32"/>
          <w:lang w:eastAsia="zh-CN"/>
        </w:rPr>
        <w:t>全年</w:t>
      </w:r>
      <w:r>
        <w:rPr>
          <w:rFonts w:hint="eastAsia" w:ascii="仿宋_GB2312" w:hAnsi="仿宋_GB2312" w:eastAsia="仿宋_GB2312" w:cs="仿宋_GB2312"/>
          <w:color w:val="auto"/>
          <w:sz w:val="32"/>
          <w:szCs w:val="32"/>
        </w:rPr>
        <w:t>公开政府规章</w:t>
      </w: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color w:val="auto"/>
          <w:sz w:val="32"/>
          <w:szCs w:val="32"/>
        </w:rPr>
        <w:t>件，行政规范性文件</w:t>
      </w:r>
      <w:r>
        <w:rPr>
          <w:rFonts w:hint="eastAsia" w:ascii="仿宋_GB2312" w:hAnsi="仿宋_GB2312" w:eastAsia="仿宋_GB2312" w:cs="仿宋_GB2312"/>
          <w:color w:val="auto"/>
          <w:sz w:val="32"/>
          <w:szCs w:val="32"/>
          <w:lang w:val="en-US" w:eastAsia="zh-CN"/>
        </w:rPr>
        <w:t>59</w:t>
      </w:r>
      <w:r>
        <w:rPr>
          <w:rFonts w:hint="eastAsia" w:ascii="仿宋_GB2312" w:hAnsi="仿宋_GB2312" w:eastAsia="仿宋_GB2312" w:cs="仿宋_GB2312"/>
          <w:color w:val="auto"/>
          <w:sz w:val="32"/>
          <w:szCs w:val="32"/>
        </w:rPr>
        <w:t>件，</w:t>
      </w:r>
      <w:r>
        <w:rPr>
          <w:rFonts w:hint="eastAsia" w:ascii="仿宋_GB2312" w:hAnsi="仿宋_GB2312" w:eastAsia="仿宋_GB2312" w:cs="仿宋_GB2312"/>
          <w:color w:val="auto"/>
          <w:sz w:val="32"/>
          <w:szCs w:val="32"/>
          <w:lang w:eastAsia="zh-CN"/>
        </w:rPr>
        <w:t>市政府各级各部门通过市县两级政府网站及时公开并更新了机构概况和领导信息；在政府网站</w:t>
      </w:r>
      <w:r>
        <w:rPr>
          <w:rFonts w:hint="eastAsia" w:ascii="仿宋_GB2312" w:hAnsi="仿宋_GB2312" w:eastAsia="仿宋_GB2312" w:cs="仿宋_GB2312"/>
          <w:color w:val="auto"/>
          <w:sz w:val="32"/>
          <w:szCs w:val="32"/>
          <w:lang w:val="en-US" w:eastAsia="zh-CN"/>
        </w:rPr>
        <w:t>公开</w:t>
      </w:r>
      <w:r>
        <w:rPr>
          <w:rFonts w:hint="eastAsia" w:ascii="仿宋_GB2312" w:hAnsi="仿宋_GB2312" w:eastAsia="仿宋_GB2312" w:cs="仿宋_GB2312"/>
          <w:color w:val="auto"/>
          <w:sz w:val="32"/>
          <w:szCs w:val="32"/>
        </w:rPr>
        <w:t>行政许可</w:t>
      </w:r>
      <w:r>
        <w:rPr>
          <w:rFonts w:hint="eastAsia" w:ascii="仿宋_GB2312" w:hAnsi="仿宋_GB2312" w:eastAsia="仿宋_GB2312" w:cs="仿宋_GB2312"/>
          <w:color w:val="auto"/>
          <w:sz w:val="32"/>
          <w:szCs w:val="32"/>
          <w:lang w:eastAsia="zh-CN"/>
        </w:rPr>
        <w:t>、行政处罚、行政强制及</w:t>
      </w:r>
      <w:r>
        <w:rPr>
          <w:rFonts w:hint="eastAsia" w:ascii="仿宋_GB2312" w:hAnsi="仿宋_GB2312" w:eastAsia="仿宋_GB2312" w:cs="仿宋_GB2312"/>
          <w:color w:val="auto"/>
          <w:sz w:val="32"/>
          <w:szCs w:val="32"/>
        </w:rPr>
        <w:t>其他对外管理服务事项</w:t>
      </w:r>
      <w:r>
        <w:rPr>
          <w:rFonts w:hint="eastAsia" w:ascii="仿宋_GB2312" w:hAnsi="仿宋_GB2312" w:eastAsia="仿宋_GB2312" w:cs="仿宋_GB2312"/>
          <w:color w:val="auto"/>
          <w:sz w:val="32"/>
          <w:szCs w:val="32"/>
          <w:lang w:val="en-US" w:eastAsia="zh-CN"/>
        </w:rPr>
        <w:t>5155个、</w:t>
      </w:r>
      <w:r>
        <w:rPr>
          <w:rFonts w:hint="eastAsia" w:ascii="仿宋_GB2312" w:hAnsi="仿宋_GB2312" w:eastAsia="仿宋_GB2312" w:cs="仿宋_GB2312"/>
          <w:color w:val="auto"/>
          <w:sz w:val="32"/>
          <w:szCs w:val="32"/>
          <w:lang w:eastAsia="zh-CN"/>
        </w:rPr>
        <w:t>处理决定</w:t>
      </w:r>
      <w:r>
        <w:rPr>
          <w:rFonts w:hint="eastAsia" w:ascii="仿宋_GB2312" w:hAnsi="仿宋_GB2312" w:eastAsia="仿宋_GB2312" w:cs="仿宋_GB2312"/>
          <w:color w:val="auto"/>
          <w:sz w:val="32"/>
          <w:szCs w:val="32"/>
          <w:lang w:val="en-US" w:eastAsia="zh-CN"/>
        </w:rPr>
        <w:t>589.19</w:t>
      </w:r>
      <w:r>
        <w:rPr>
          <w:rFonts w:hint="eastAsia" w:ascii="仿宋_GB2312" w:hAnsi="仿宋_GB2312" w:eastAsia="仿宋_GB2312" w:cs="仿宋_GB2312"/>
          <w:color w:val="auto"/>
          <w:sz w:val="32"/>
          <w:szCs w:val="32"/>
        </w:rPr>
        <w:t>万件</w:t>
      </w:r>
      <w:r>
        <w:rPr>
          <w:rFonts w:hint="eastAsia" w:ascii="仿宋_GB2312" w:hAnsi="仿宋_GB2312" w:eastAsia="仿宋_GB2312" w:cs="仿宋_GB2312"/>
          <w:color w:val="auto"/>
          <w:sz w:val="32"/>
          <w:szCs w:val="32"/>
          <w:lang w:eastAsia="zh-CN"/>
        </w:rPr>
        <w:t>；定期发布</w:t>
      </w:r>
      <w:r>
        <w:rPr>
          <w:rFonts w:hint="eastAsia" w:ascii="仿宋_GB2312" w:hAnsi="仿宋_GB2312" w:eastAsia="仿宋_GB2312" w:cs="仿宋_GB2312"/>
          <w:color w:val="auto"/>
          <w:sz w:val="32"/>
          <w:szCs w:val="32"/>
        </w:rPr>
        <w:t>行政事业性收费</w:t>
      </w:r>
      <w:r>
        <w:rPr>
          <w:rFonts w:hint="eastAsia" w:ascii="仿宋_GB2312" w:hAnsi="仿宋_GB2312" w:eastAsia="仿宋_GB2312" w:cs="仿宋_GB2312"/>
          <w:color w:val="auto"/>
          <w:sz w:val="32"/>
          <w:szCs w:val="32"/>
          <w:lang w:eastAsia="zh-CN"/>
        </w:rPr>
        <w:t>目录，</w:t>
      </w:r>
      <w:r>
        <w:rPr>
          <w:rFonts w:hint="eastAsia" w:ascii="仿宋_GB2312" w:hAnsi="仿宋_GB2312" w:eastAsia="仿宋_GB2312" w:cs="仿宋_GB2312"/>
          <w:color w:val="auto"/>
          <w:sz w:val="32"/>
          <w:szCs w:val="32"/>
          <w:lang w:val="en-US" w:eastAsia="zh-CN"/>
        </w:rPr>
        <w:t>2020年我市行政事业性收费</w:t>
      </w:r>
      <w:r>
        <w:rPr>
          <w:rFonts w:hint="eastAsia" w:ascii="仿宋_GB2312" w:hAnsi="仿宋_GB2312" w:eastAsia="仿宋_GB2312" w:cs="仿宋_GB2312"/>
          <w:color w:val="auto"/>
          <w:sz w:val="32"/>
          <w:szCs w:val="32"/>
        </w:rPr>
        <w:t>项目</w:t>
      </w:r>
      <w:r>
        <w:rPr>
          <w:rFonts w:hint="eastAsia" w:ascii="仿宋_GB2312" w:hAnsi="仿宋_GB2312" w:eastAsia="仿宋_GB2312" w:cs="仿宋_GB2312"/>
          <w:color w:val="auto"/>
          <w:sz w:val="32"/>
          <w:szCs w:val="32"/>
          <w:lang w:eastAsia="zh-CN"/>
        </w:rPr>
        <w:t>为</w:t>
      </w:r>
      <w:r>
        <w:rPr>
          <w:rFonts w:hint="eastAsia" w:ascii="仿宋_GB2312" w:hAnsi="仿宋_GB2312" w:eastAsia="仿宋_GB2312" w:cs="仿宋_GB2312"/>
          <w:color w:val="auto"/>
          <w:sz w:val="32"/>
          <w:szCs w:val="32"/>
          <w:lang w:val="en-US" w:eastAsia="zh-CN"/>
        </w:rPr>
        <w:t>51个；出刊</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烟台</w:t>
      </w:r>
      <w:r>
        <w:rPr>
          <w:rFonts w:hint="eastAsia" w:ascii="仿宋_GB2312" w:hAnsi="仿宋_GB2312" w:eastAsia="仿宋_GB2312" w:cs="仿宋_GB2312"/>
          <w:color w:val="auto"/>
          <w:sz w:val="32"/>
          <w:szCs w:val="32"/>
        </w:rPr>
        <w:t>市人民政府公报》</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期，</w:t>
      </w:r>
      <w:r>
        <w:rPr>
          <w:rFonts w:hint="eastAsia" w:ascii="仿宋_GB2312" w:hAnsi="仿宋_GB2312" w:eastAsia="仿宋_GB2312" w:cs="仿宋_GB2312"/>
          <w:color w:val="auto"/>
          <w:sz w:val="32"/>
          <w:szCs w:val="32"/>
          <w:lang w:eastAsia="zh-CN"/>
        </w:rPr>
        <w:t>刊登市政府制定并发布的规范性文件、政策文件</w:t>
      </w:r>
      <w:r>
        <w:rPr>
          <w:rFonts w:hint="eastAsia" w:ascii="仿宋_GB2312" w:hAnsi="仿宋_GB2312" w:eastAsia="仿宋_GB2312" w:cs="仿宋_GB2312"/>
          <w:color w:val="auto"/>
          <w:sz w:val="32"/>
          <w:szCs w:val="32"/>
          <w:lang w:val="en-US" w:eastAsia="zh-CN"/>
        </w:rPr>
        <w:t>58个，</w:t>
      </w:r>
      <w:r>
        <w:rPr>
          <w:rFonts w:hint="eastAsia" w:ascii="仿宋_GB2312" w:hAnsi="仿宋_GB2312" w:eastAsia="仿宋_GB2312" w:cs="仿宋_GB2312"/>
          <w:color w:val="auto"/>
          <w:sz w:val="32"/>
          <w:szCs w:val="32"/>
        </w:rPr>
        <w:t>全年投放</w:t>
      </w:r>
      <w:r>
        <w:rPr>
          <w:rFonts w:hint="eastAsia" w:ascii="仿宋_GB2312" w:hAnsi="仿宋_GB2312" w:eastAsia="仿宋_GB2312" w:cs="仿宋_GB2312"/>
          <w:color w:val="auto"/>
          <w:sz w:val="32"/>
          <w:szCs w:val="32"/>
          <w:lang w:val="en-US" w:eastAsia="zh-CN"/>
        </w:rPr>
        <w:t>16.8</w:t>
      </w:r>
      <w:r>
        <w:rPr>
          <w:rFonts w:hint="eastAsia" w:ascii="仿宋_GB2312" w:hAnsi="仿宋_GB2312" w:eastAsia="仿宋_GB2312" w:cs="仿宋_GB2312"/>
          <w:color w:val="auto"/>
          <w:sz w:val="32"/>
          <w:szCs w:val="32"/>
        </w:rPr>
        <w:t>万份</w:t>
      </w:r>
      <w:r>
        <w:rPr>
          <w:rFonts w:hint="eastAsia" w:ascii="仿宋_GB2312" w:hAnsi="仿宋_GB2312" w:eastAsia="仿宋_GB2312" w:cs="仿宋_GB2312"/>
          <w:color w:val="auto"/>
          <w:sz w:val="32"/>
          <w:szCs w:val="32"/>
          <w:lang w:eastAsia="zh-CN"/>
        </w:rPr>
        <w:t>；公开发布各类专项规划</w:t>
      </w:r>
      <w:r>
        <w:rPr>
          <w:rFonts w:hint="eastAsia" w:ascii="仿宋_GB2312" w:hAnsi="仿宋_GB2312" w:eastAsia="仿宋_GB2312" w:cs="仿宋_GB2312"/>
          <w:color w:val="auto"/>
          <w:sz w:val="32"/>
          <w:szCs w:val="32"/>
          <w:lang w:val="en-US" w:eastAsia="zh-CN"/>
        </w:rPr>
        <w:t>18个，专项应急预案30个；通过灯塔烟台·智慧党建、市人力资源社会保障局网站公开公务员招考及录用事项及录用结果信息95条，年内各级行政机关通过政府网站累计公开各类政府信息114000余条。重点围绕以下几个方面做好政府信息主动公开：</w:t>
      </w:r>
    </w:p>
    <w:p>
      <w:pPr>
        <w:pStyle w:val="2"/>
        <w:ind w:firstLine="640"/>
        <w:rPr>
          <w:rFonts w:hint="eastAsia" w:ascii="仿宋_GB2312" w:hAnsi="仿宋_GB2312" w:eastAsia="仿宋_GB2312" w:cs="仿宋_GB2312"/>
          <w:i w:val="0"/>
          <w:caps w:val="0"/>
          <w:color w:val="auto"/>
          <w:spacing w:val="0"/>
          <w:sz w:val="32"/>
          <w:szCs w:val="32"/>
          <w:u w:val="none"/>
          <w:lang w:eastAsia="zh-CN"/>
        </w:rPr>
      </w:pPr>
      <w:r>
        <w:rPr>
          <w:rFonts w:hint="eastAsia" w:ascii="仿宋_GB2312" w:hAnsi="仿宋_GB2312" w:eastAsia="仿宋_GB2312" w:cs="仿宋_GB2312"/>
          <w:i w:val="0"/>
          <w:caps w:val="0"/>
          <w:color w:val="auto"/>
          <w:spacing w:val="0"/>
          <w:sz w:val="32"/>
          <w:szCs w:val="32"/>
          <w:u w:val="none"/>
          <w:lang w:eastAsia="zh-CN"/>
        </w:rPr>
        <w:drawing>
          <wp:anchor distT="0" distB="0" distL="114300" distR="114300" simplePos="0" relativeHeight="251661312" behindDoc="1" locked="0" layoutInCell="1" allowOverlap="1">
            <wp:simplePos x="0" y="0"/>
            <wp:positionH relativeFrom="column">
              <wp:posOffset>93345</wp:posOffset>
            </wp:positionH>
            <wp:positionV relativeFrom="paragraph">
              <wp:posOffset>2501265</wp:posOffset>
            </wp:positionV>
            <wp:extent cx="3479165" cy="2925445"/>
            <wp:effectExtent l="0" t="0" r="6985" b="8255"/>
            <wp:wrapThrough wrapText="bothSides">
              <wp:wrapPolygon>
                <wp:start x="0" y="0"/>
                <wp:lineTo x="0" y="21520"/>
                <wp:lineTo x="21525" y="21520"/>
                <wp:lineTo x="21525" y="0"/>
                <wp:lineTo x="0" y="0"/>
              </wp:wrapPolygon>
            </wp:wrapThrough>
            <wp:docPr id="4" name="图片 4" descr="烟台市政府门户网站 政府年度重点任务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烟台市政府门户网站 政府年度重点任务 (2)"/>
                    <pic:cNvPicPr>
                      <a:picLocks noChangeAspect="1"/>
                    </pic:cNvPicPr>
                  </pic:nvPicPr>
                  <pic:blipFill>
                    <a:blip r:embed="rId8"/>
                    <a:srcRect l="18484" r="19536" b="50859"/>
                    <a:stretch>
                      <a:fillRect/>
                    </a:stretch>
                  </pic:blipFill>
                  <pic:spPr>
                    <a:xfrm>
                      <a:off x="0" y="0"/>
                      <a:ext cx="3479165" cy="2925445"/>
                    </a:xfrm>
                    <a:prstGeom prst="rect">
                      <a:avLst/>
                    </a:prstGeom>
                  </pic:spPr>
                </pic:pic>
              </a:graphicData>
            </a:graphic>
          </wp:anchor>
        </w:drawing>
      </w:r>
      <w:r>
        <w:rPr>
          <w:rFonts w:hint="eastAsia" w:ascii="仿宋_GB2312" w:hAnsi="仿宋_GB2312" w:eastAsia="仿宋_GB2312" w:cs="仿宋_GB2312"/>
          <w:b/>
          <w:bCs/>
          <w:color w:val="auto"/>
          <w:kern w:val="2"/>
          <w:sz w:val="32"/>
          <w:szCs w:val="32"/>
          <w:lang w:val="en-US" w:eastAsia="zh-CN" w:bidi="ar-SA"/>
        </w:rPr>
        <w:t>围绕中心工作，提升公开实效。</w:t>
      </w:r>
      <w:r>
        <w:rPr>
          <w:rFonts w:hint="eastAsia" w:ascii="仿宋_GB2312" w:hAnsi="仿宋_GB2312" w:eastAsia="仿宋_GB2312" w:cs="仿宋_GB2312"/>
          <w:color w:val="auto"/>
          <w:kern w:val="2"/>
          <w:sz w:val="32"/>
          <w:szCs w:val="32"/>
          <w:lang w:val="en-US" w:eastAsia="zh-CN" w:bidi="ar-SA"/>
        </w:rPr>
        <w:t>一是围绕“重点工作攻坚年”，持续完善法律法规制度体系。严格履行重大行政决策程序，公开重大行政决策事项目录、标准，完成《老岚水库工程建设征地移民安置规划》等13个重大行政决策事项的预公开，水利、自然资源和规划、应急管理等9部门在政府网站发布了决策草案、意见征集公告和征集结果信息；二是围绕“六稳”“六保”，统筹推进疫情防控和经济社会发展。贯彻落实全国政务公开领导小组第三次会议精神，做好宣传教育和舆论引导，突出信息需求，准确发布权威声音，以信息公开助力疫情防控和复工复产；在政府网站开设专题专栏，按照“六保三促”工作方案，重点公开我市相关政策文件、工作动态、取得成效等方面信息，集中发布《关于同舟共济应对疫情支持企业渡难关稳发展的政策意见》等政策文件26个，配发解读材料和各类新闻报道30余篇。三是围绕“制度建设年”，加强法治政府建设。建立健全</w:t>
      </w:r>
      <w:r>
        <w:rPr>
          <w:rFonts w:hint="eastAsia" w:ascii="仿宋_GB2312" w:hAnsi="仿宋_GB2312" w:eastAsia="仿宋_GB2312" w:cs="仿宋_GB2312"/>
          <w:i w:val="0"/>
          <w:caps w:val="0"/>
          <w:color w:val="auto"/>
          <w:spacing w:val="0"/>
          <w:sz w:val="32"/>
          <w:szCs w:val="32"/>
          <w:u w:val="none"/>
        </w:rPr>
        <w:t>规章和规范性文件定期清理和公开制度</w:t>
      </w:r>
      <w:r>
        <w:rPr>
          <w:rFonts w:hint="eastAsia" w:ascii="仿宋_GB2312" w:hAnsi="仿宋_GB2312" w:eastAsia="仿宋_GB2312" w:cs="仿宋_GB2312"/>
          <w:i w:val="0"/>
          <w:caps w:val="0"/>
          <w:color w:val="auto"/>
          <w:spacing w:val="0"/>
          <w:sz w:val="32"/>
          <w:szCs w:val="32"/>
          <w:u w:val="none"/>
          <w:lang w:eastAsia="zh-CN"/>
        </w:rPr>
        <w:t>，每季度在政府网站公开规范性文件清理结果，建立规范性文件专栏和政策文件库、政府公报数据库，全市规范性文件和政策文件实现动态管理。</w:t>
      </w:r>
      <w:r>
        <w:rPr>
          <w:rFonts w:hint="eastAsia" w:ascii="仿宋_GB2312" w:hAnsi="仿宋_GB2312" w:eastAsia="仿宋_GB2312" w:cs="仿宋_GB2312"/>
          <w:i w:val="0"/>
          <w:caps w:val="0"/>
          <w:color w:val="auto"/>
          <w:spacing w:val="0"/>
          <w:sz w:val="32"/>
          <w:szCs w:val="32"/>
          <w:u w:val="none"/>
          <w:lang w:eastAsia="zh-CN"/>
        </w:rPr>
        <w:drawing>
          <wp:anchor distT="0" distB="0" distL="114300" distR="114300" simplePos="0" relativeHeight="251659264" behindDoc="1" locked="0" layoutInCell="1" allowOverlap="1">
            <wp:simplePos x="0" y="0"/>
            <wp:positionH relativeFrom="column">
              <wp:posOffset>55880</wp:posOffset>
            </wp:positionH>
            <wp:positionV relativeFrom="paragraph">
              <wp:posOffset>25400</wp:posOffset>
            </wp:positionV>
            <wp:extent cx="4779645" cy="2703195"/>
            <wp:effectExtent l="0" t="0" r="0" b="0"/>
            <wp:wrapTight wrapText="bothSides">
              <wp:wrapPolygon>
                <wp:start x="0" y="0"/>
                <wp:lineTo x="0" y="21463"/>
                <wp:lineTo x="21523" y="21463"/>
                <wp:lineTo x="21523" y="0"/>
                <wp:lineTo x="0" y="0"/>
              </wp:wrapPolygon>
            </wp:wrapTight>
            <wp:docPr id="2" name="图片 2" descr="微信截图_20201231205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截图_20201231205241"/>
                    <pic:cNvPicPr>
                      <a:picLocks noChangeAspect="1"/>
                    </pic:cNvPicPr>
                  </pic:nvPicPr>
                  <pic:blipFill>
                    <a:blip r:embed="rId9"/>
                    <a:srcRect l="5985" r="8842"/>
                    <a:stretch>
                      <a:fillRect/>
                    </a:stretch>
                  </pic:blipFill>
                  <pic:spPr>
                    <a:xfrm>
                      <a:off x="0" y="0"/>
                      <a:ext cx="4779645" cy="2703195"/>
                    </a:xfrm>
                    <a:prstGeom prst="rect">
                      <a:avLst/>
                    </a:prstGeom>
                  </pic:spPr>
                </pic:pic>
              </a:graphicData>
            </a:graphic>
          </wp:anchor>
        </w:drawing>
      </w:r>
      <w:r>
        <w:rPr>
          <w:rFonts w:hint="eastAsia" w:ascii="仿宋_GB2312" w:hAnsi="仿宋_GB2312" w:eastAsia="仿宋_GB2312" w:cs="仿宋_GB2312"/>
          <w:i w:val="0"/>
          <w:caps w:val="0"/>
          <w:color w:val="auto"/>
          <w:spacing w:val="0"/>
          <w:sz w:val="32"/>
          <w:szCs w:val="32"/>
          <w:u w:val="none"/>
          <w:lang w:eastAsia="zh-CN"/>
        </w:rPr>
        <w:t>四是围绕优化营商环境，推进惠企政策精准推送。通过信息公开平台对现有惠企政策和企业实行分类梳理、标签化管理，加强企业与政策匹配对应，依托企业专属网页、惠企政策专窗、企业服务云等，主动精准推送惠企政策申请条件、申报材料清单、办理流程、承办单位、联系方式、起止时间等信息；推进办事服务公开标准化，在政府网站和政务服务平台同步公开涉企服务事项，打造政务公开服务专区，向企业提供信息公开申请、办事咨询答复等便捷服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outlineLvl w:val="9"/>
        <w:rPr>
          <w:rFonts w:hint="eastAsia"/>
          <w:color w:val="auto"/>
          <w:lang w:val="en-US" w:eastAsia="zh-CN"/>
        </w:rPr>
      </w:pPr>
      <w:r>
        <w:rPr>
          <w:rFonts w:hint="eastAsia" w:ascii="仿宋_GB2312" w:hAnsi="仿宋_GB2312" w:eastAsia="仿宋_GB2312" w:cs="仿宋_GB2312"/>
          <w:color w:val="auto"/>
          <w:sz w:val="32"/>
          <w:szCs w:val="32"/>
          <w:lang w:val="en-US" w:eastAsia="zh-CN"/>
        </w:rPr>
        <w:drawing>
          <wp:anchor distT="0" distB="0" distL="114300" distR="114300" simplePos="0" relativeHeight="251662336" behindDoc="0" locked="0" layoutInCell="1" allowOverlap="1">
            <wp:simplePos x="0" y="0"/>
            <wp:positionH relativeFrom="column">
              <wp:posOffset>-23495</wp:posOffset>
            </wp:positionH>
            <wp:positionV relativeFrom="paragraph">
              <wp:posOffset>1844675</wp:posOffset>
            </wp:positionV>
            <wp:extent cx="3810000" cy="5380355"/>
            <wp:effectExtent l="0" t="0" r="0" b="10795"/>
            <wp:wrapSquare wrapText="bothSides"/>
            <wp:docPr id="5" name="图片 5" descr="烟台市政府门户网站 烟台市政府会议公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烟台市政府门户网站 烟台市政府会议公开"/>
                    <pic:cNvPicPr>
                      <a:picLocks noChangeAspect="1"/>
                    </pic:cNvPicPr>
                  </pic:nvPicPr>
                  <pic:blipFill>
                    <a:blip r:embed="rId10"/>
                    <a:stretch>
                      <a:fillRect/>
                    </a:stretch>
                  </pic:blipFill>
                  <pic:spPr>
                    <a:xfrm>
                      <a:off x="0" y="0"/>
                      <a:ext cx="3810000" cy="5380355"/>
                    </a:xfrm>
                    <a:prstGeom prst="rect">
                      <a:avLst/>
                    </a:prstGeom>
                  </pic:spPr>
                </pic:pic>
              </a:graphicData>
            </a:graphic>
          </wp:anchor>
        </w:drawing>
      </w:r>
      <w:r>
        <w:rPr>
          <w:rFonts w:hint="eastAsia" w:ascii="仿宋_GB2312" w:hAnsi="仿宋_GB2312" w:eastAsia="仿宋_GB2312" w:cs="仿宋_GB2312"/>
          <w:b/>
          <w:bCs/>
          <w:i w:val="0"/>
          <w:caps w:val="0"/>
          <w:color w:val="auto"/>
          <w:spacing w:val="0"/>
          <w:sz w:val="32"/>
          <w:szCs w:val="32"/>
          <w:u w:val="none"/>
          <w:lang w:eastAsia="zh-CN"/>
        </w:rPr>
        <w:t>规范制度流程，全面推进“五公开”。</w:t>
      </w:r>
      <w:r>
        <w:rPr>
          <w:rFonts w:hint="eastAsia" w:ascii="仿宋_GB2312" w:hAnsi="仿宋_GB2312" w:eastAsia="仿宋_GB2312" w:cs="仿宋_GB2312"/>
          <w:i w:val="0"/>
          <w:caps w:val="0"/>
          <w:color w:val="auto"/>
          <w:spacing w:val="0"/>
          <w:kern w:val="2"/>
          <w:sz w:val="32"/>
          <w:szCs w:val="32"/>
          <w:u w:val="none"/>
          <w:lang w:val="en-US" w:eastAsia="zh-CN" w:bidi="ar-SA"/>
        </w:rPr>
        <w:t>深入推进决策公开，</w:t>
      </w:r>
      <w:r>
        <w:rPr>
          <w:rFonts w:hint="eastAsia" w:ascii="仿宋_GB2312" w:hAnsi="仿宋_GB2312" w:eastAsia="仿宋_GB2312" w:cs="仿宋_GB2312"/>
          <w:color w:val="auto"/>
          <w:sz w:val="32"/>
          <w:szCs w:val="32"/>
          <w:lang w:val="en-US" w:eastAsia="zh-CN"/>
        </w:rPr>
        <w:t>做好政府会议内容公开和解读。全年公开市政府常务会议17次，会议内容、议定事项全部进行图文解读，公开市政府专题会议50余次，市民代表</w:t>
      </w:r>
      <w:r>
        <w:rPr>
          <w:rFonts w:ascii="仿宋_GB2312" w:hAnsi="宋体" w:eastAsia="仿宋_GB2312" w:cs="仿宋_GB2312"/>
          <w:i w:val="0"/>
          <w:caps w:val="0"/>
          <w:color w:val="auto"/>
          <w:spacing w:val="0"/>
          <w:sz w:val="31"/>
          <w:szCs w:val="31"/>
          <w:shd w:val="clear" w:fill="FFFFFF"/>
        </w:rPr>
        <w:t>毕英华</w:t>
      </w:r>
      <w:r>
        <w:rPr>
          <w:rFonts w:hint="eastAsia" w:ascii="仿宋_GB2312" w:hAnsi="宋体" w:eastAsia="仿宋_GB2312" w:cs="仿宋_GB2312"/>
          <w:i w:val="0"/>
          <w:caps w:val="0"/>
          <w:color w:val="auto"/>
          <w:spacing w:val="0"/>
          <w:sz w:val="31"/>
          <w:szCs w:val="31"/>
          <w:shd w:val="clear" w:fill="FFFFFF"/>
          <w:lang w:eastAsia="zh-CN"/>
        </w:rPr>
        <w:t>等、企业代表李菊、崔剑等</w:t>
      </w:r>
      <w:r>
        <w:rPr>
          <w:rFonts w:hint="eastAsia" w:ascii="仿宋_GB2312" w:hAnsi="宋体" w:eastAsia="仿宋_GB2312" w:cs="仿宋_GB2312"/>
          <w:i w:val="0"/>
          <w:caps w:val="0"/>
          <w:color w:val="auto"/>
          <w:spacing w:val="0"/>
          <w:sz w:val="31"/>
          <w:szCs w:val="31"/>
          <w:shd w:val="clear" w:fill="FFFFFF"/>
          <w:lang w:val="en-US" w:eastAsia="zh-CN"/>
        </w:rPr>
        <w:t>32名利益相关方了</w:t>
      </w:r>
      <w:r>
        <w:rPr>
          <w:rFonts w:hint="eastAsia" w:ascii="仿宋_GB2312" w:hAnsi="仿宋_GB2312" w:eastAsia="仿宋_GB2312" w:cs="仿宋_GB2312"/>
          <w:color w:val="auto"/>
          <w:sz w:val="32"/>
          <w:szCs w:val="32"/>
          <w:lang w:val="en-US" w:eastAsia="zh-CN"/>
        </w:rPr>
        <w:t>列席市政府常务会议，各区市政府、市政府部门累计通过政府网站公开各类政府会议370余次，媒体、专家、利益相关方列席政府常务会议实现制度化、常态化；年内各级政府部门组织开展</w:t>
      </w:r>
      <w:r>
        <w:rPr>
          <w:rFonts w:hint="eastAsia" w:ascii="仿宋_GB2312" w:hAnsi="仿宋_GB2312" w:eastAsia="仿宋_GB2312" w:cs="仿宋_GB2312"/>
          <w:i w:val="0"/>
          <w:caps w:val="0"/>
          <w:color w:val="auto"/>
          <w:spacing w:val="0"/>
          <w:sz w:val="32"/>
          <w:szCs w:val="32"/>
          <w:u w:val="none"/>
        </w:rPr>
        <w:t>政府开放日、网络问政、电视问政等多形式的公众参与和监督活动</w:t>
      </w:r>
      <w:r>
        <w:rPr>
          <w:rFonts w:hint="eastAsia" w:ascii="仿宋_GB2312" w:hAnsi="仿宋_GB2312" w:eastAsia="仿宋_GB2312" w:cs="仿宋_GB2312"/>
          <w:i w:val="0"/>
          <w:caps w:val="0"/>
          <w:color w:val="auto"/>
          <w:spacing w:val="0"/>
          <w:sz w:val="32"/>
          <w:szCs w:val="32"/>
          <w:u w:val="none"/>
          <w:lang w:val="en-US" w:eastAsia="zh-CN"/>
        </w:rPr>
        <w:t>140余次。深入</w:t>
      </w:r>
      <w:r>
        <w:rPr>
          <w:rFonts w:hint="eastAsia" w:ascii="仿宋_GB2312" w:hAnsi="仿宋_GB2312" w:eastAsia="仿宋_GB2312" w:cs="仿宋_GB2312"/>
          <w:i w:val="0"/>
          <w:caps w:val="0"/>
          <w:color w:val="auto"/>
          <w:spacing w:val="0"/>
          <w:sz w:val="32"/>
          <w:szCs w:val="32"/>
          <w:u w:val="none"/>
        </w:rPr>
        <w:t>推进管理和服务公开</w:t>
      </w:r>
      <w:r>
        <w:rPr>
          <w:rFonts w:hint="eastAsia" w:ascii="仿宋_GB2312" w:hAnsi="仿宋_GB2312" w:eastAsia="仿宋_GB2312" w:cs="仿宋_GB2312"/>
          <w:i w:val="0"/>
          <w:caps w:val="0"/>
          <w:color w:val="auto"/>
          <w:spacing w:val="0"/>
          <w:sz w:val="32"/>
          <w:szCs w:val="32"/>
          <w:u w:val="none"/>
          <w:lang w:eastAsia="zh-CN"/>
        </w:rPr>
        <w:t>，市政府各部门及时在政府网站</w:t>
      </w:r>
      <w:r>
        <w:rPr>
          <w:rFonts w:hint="eastAsia" w:ascii="仿宋_GB2312" w:hAnsi="仿宋_GB2312" w:eastAsia="仿宋_GB2312" w:cs="仿宋_GB2312"/>
          <w:i w:val="0"/>
          <w:caps w:val="0"/>
          <w:color w:val="auto"/>
          <w:spacing w:val="0"/>
          <w:sz w:val="32"/>
          <w:szCs w:val="32"/>
          <w:u w:val="none"/>
        </w:rPr>
        <w:t>更新完善</w:t>
      </w:r>
      <w:r>
        <w:rPr>
          <w:rFonts w:hint="eastAsia" w:ascii="仿宋_GB2312" w:hAnsi="仿宋_GB2312" w:eastAsia="仿宋_GB2312" w:cs="仿宋_GB2312"/>
          <w:i w:val="0"/>
          <w:caps w:val="0"/>
          <w:color w:val="auto"/>
          <w:spacing w:val="0"/>
          <w:sz w:val="32"/>
          <w:szCs w:val="32"/>
          <w:u w:val="none"/>
          <w:lang w:eastAsia="zh-CN"/>
        </w:rPr>
        <w:t>了</w:t>
      </w:r>
      <w:r>
        <w:rPr>
          <w:rFonts w:hint="eastAsia" w:ascii="仿宋_GB2312" w:hAnsi="仿宋_GB2312" w:eastAsia="仿宋_GB2312" w:cs="仿宋_GB2312"/>
          <w:i w:val="0"/>
          <w:caps w:val="0"/>
          <w:color w:val="auto"/>
          <w:spacing w:val="0"/>
          <w:sz w:val="32"/>
          <w:szCs w:val="32"/>
          <w:u w:val="none"/>
        </w:rPr>
        <w:t>权责清单</w:t>
      </w:r>
      <w:r>
        <w:rPr>
          <w:rFonts w:hint="eastAsia" w:ascii="仿宋_GB2312" w:hAnsi="仿宋_GB2312" w:eastAsia="仿宋_GB2312" w:cs="仿宋_GB2312"/>
          <w:i w:val="0"/>
          <w:caps w:val="0"/>
          <w:color w:val="auto"/>
          <w:spacing w:val="0"/>
          <w:sz w:val="32"/>
          <w:szCs w:val="32"/>
          <w:u w:val="none"/>
          <w:lang w:eastAsia="zh-CN"/>
        </w:rPr>
        <w:t>，</w:t>
      </w:r>
      <w:r>
        <w:rPr>
          <w:rFonts w:hint="eastAsia" w:ascii="仿宋_GB2312" w:hAnsi="仿宋_GB2312" w:eastAsia="仿宋_GB2312" w:cs="仿宋_GB2312"/>
          <w:i w:val="0"/>
          <w:caps w:val="0"/>
          <w:color w:val="auto"/>
          <w:spacing w:val="0"/>
          <w:sz w:val="32"/>
          <w:szCs w:val="32"/>
          <w:u w:val="none"/>
        </w:rPr>
        <w:t>全面贯彻落实行政执法公示制度</w:t>
      </w:r>
      <w:r>
        <w:rPr>
          <w:rFonts w:hint="eastAsia" w:ascii="仿宋_GB2312" w:hAnsi="仿宋_GB2312" w:eastAsia="仿宋_GB2312" w:cs="仿宋_GB2312"/>
          <w:i w:val="0"/>
          <w:caps w:val="0"/>
          <w:color w:val="auto"/>
          <w:spacing w:val="0"/>
          <w:sz w:val="32"/>
          <w:szCs w:val="32"/>
          <w:u w:val="none"/>
          <w:lang w:eastAsia="zh-CN"/>
        </w:rPr>
        <w:t>，建立全市统一的行政执法公示平台、“双随机、一公开”监管平台；</w:t>
      </w:r>
      <w:r>
        <w:rPr>
          <w:rFonts w:hint="eastAsia" w:ascii="仿宋_GB2312" w:hAnsi="仿宋_GB2312" w:eastAsia="仿宋_GB2312" w:cs="仿宋_GB2312"/>
          <w:color w:val="auto"/>
          <w:sz w:val="32"/>
          <w:szCs w:val="32"/>
          <w:lang w:val="en-US" w:eastAsia="zh-CN"/>
        </w:rPr>
        <w:t>全面推进一体化在线政务服务平台建设，打造“一网通办”总门户，</w:t>
      </w:r>
      <w:r>
        <w:rPr>
          <w:rFonts w:hint="eastAsia" w:ascii="仿宋_GB2312" w:hAnsi="仿宋_GB2312" w:eastAsia="仿宋_GB2312" w:cs="仿宋_GB2312"/>
          <w:i w:val="0"/>
          <w:caps w:val="0"/>
          <w:color w:val="auto"/>
          <w:spacing w:val="0"/>
          <w:sz w:val="32"/>
          <w:szCs w:val="32"/>
          <w:u w:val="none"/>
          <w:lang w:eastAsia="zh-CN"/>
        </w:rPr>
        <w:t>政府网站与政务服务平台的事项库、网上受理、统一咨询、统一好差评等模块数据完成对接，市县两级政府门户网站、市级部门网站与政务服务平台实现了实质性融合，</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color w:val="auto"/>
          <w:sz w:val="32"/>
          <w:szCs w:val="32"/>
          <w:highlight w:val="none"/>
        </w:rPr>
        <w:t>烟台一手通”</w:t>
      </w:r>
      <w:r>
        <w:rPr>
          <w:rFonts w:hint="eastAsia" w:ascii="仿宋_GB2312" w:hAnsi="仿宋_GB2312" w:eastAsia="仿宋_GB2312" w:cs="仿宋_GB2312"/>
          <w:color w:val="auto"/>
          <w:sz w:val="32"/>
          <w:szCs w:val="32"/>
          <w:lang w:val="en-US" w:eastAsia="zh-CN"/>
        </w:rPr>
        <w:t>移动服务平台功能进一步完善，政府信息公开移动端触角延伸至群众手中，</w:t>
      </w:r>
      <w:r>
        <w:rPr>
          <w:rFonts w:hint="eastAsia" w:ascii="仿宋_GB2312" w:hAnsi="仿宋_GB2312" w:eastAsia="仿宋_GB2312" w:cs="仿宋_GB2312"/>
          <w:color w:val="auto"/>
          <w:sz w:val="32"/>
          <w:szCs w:val="32"/>
          <w:highlight w:val="none"/>
        </w:rPr>
        <w:t>政务服务和便民服务事项</w:t>
      </w:r>
      <w:r>
        <w:rPr>
          <w:rFonts w:hint="eastAsia" w:ascii="仿宋_GB2312" w:hAnsi="仿宋_GB2312" w:eastAsia="仿宋_GB2312" w:cs="仿宋_GB2312"/>
          <w:color w:val="auto"/>
          <w:sz w:val="32"/>
          <w:szCs w:val="32"/>
          <w:highlight w:val="none"/>
          <w:lang w:eastAsia="zh-CN"/>
        </w:rPr>
        <w:t>实现</w:t>
      </w:r>
      <w:r>
        <w:rPr>
          <w:rFonts w:hint="eastAsia" w:ascii="仿宋_GB2312" w:hAnsi="仿宋_GB2312" w:eastAsia="仿宋_GB2312" w:cs="仿宋_GB2312"/>
          <w:color w:val="auto"/>
          <w:sz w:val="32"/>
          <w:szCs w:val="32"/>
          <w:highlight w:val="none"/>
        </w:rPr>
        <w:t>“掌上查”“掌上看”“掌上问”“掌上办”“掌上评”</w:t>
      </w:r>
      <w:r>
        <w:rPr>
          <w:rFonts w:hint="eastAsia" w:ascii="仿宋_GB2312" w:hAnsi="仿宋_GB2312" w:eastAsia="仿宋_GB2312" w:cs="仿宋_GB2312"/>
          <w:color w:val="auto"/>
          <w:sz w:val="32"/>
          <w:szCs w:val="32"/>
          <w:highlight w:val="none"/>
          <w:lang w:eastAsia="zh-CN"/>
        </w:rPr>
        <w:t>，全力</w:t>
      </w:r>
      <w:r>
        <w:rPr>
          <w:rFonts w:hint="eastAsia" w:ascii="仿宋_GB2312" w:hAnsi="仿宋_GB2312" w:eastAsia="仿宋_GB2312" w:cs="仿宋_GB2312"/>
          <w:color w:val="auto"/>
          <w:sz w:val="32"/>
          <w:szCs w:val="32"/>
          <w:lang w:val="en-US" w:eastAsia="zh-CN"/>
        </w:rPr>
        <w:t>打造“掌上办事之城”</w:t>
      </w:r>
      <w:r>
        <w:rPr>
          <w:rFonts w:hint="eastAsia" w:ascii="仿宋_GB2312" w:hAnsi="仿宋_GB2312" w:eastAsia="仿宋_GB2312" w:cs="仿宋_GB2312"/>
          <w:i w:val="0"/>
          <w:caps w:val="0"/>
          <w:color w:val="auto"/>
          <w:spacing w:val="0"/>
          <w:sz w:val="32"/>
          <w:szCs w:val="32"/>
          <w:u w:val="none"/>
          <w:lang w:eastAsia="zh-CN"/>
        </w:rPr>
        <w:t>。</w:t>
      </w:r>
      <w:r>
        <w:rPr>
          <w:rFonts w:hint="eastAsia" w:ascii="仿宋_GB2312" w:hAnsi="仿宋_GB2312" w:eastAsia="仿宋_GB2312" w:cs="仿宋_GB2312"/>
          <w:i w:val="0"/>
          <w:caps w:val="0"/>
          <w:color w:val="auto"/>
          <w:spacing w:val="0"/>
          <w:sz w:val="32"/>
          <w:szCs w:val="32"/>
          <w:u w:val="none"/>
        </w:rPr>
        <w:t>推进执行和结果公开</w:t>
      </w:r>
      <w:r>
        <w:rPr>
          <w:rFonts w:hint="eastAsia" w:ascii="仿宋_GB2312" w:hAnsi="仿宋_GB2312" w:eastAsia="仿宋_GB2312" w:cs="仿宋_GB2312"/>
          <w:i w:val="0"/>
          <w:caps w:val="0"/>
          <w:color w:val="auto"/>
          <w:spacing w:val="0"/>
          <w:sz w:val="32"/>
          <w:szCs w:val="32"/>
          <w:u w:val="none"/>
          <w:lang w:eastAsia="zh-CN"/>
        </w:rPr>
        <w:t>，在政府网站全文公开《</w:t>
      </w:r>
      <w:r>
        <w:rPr>
          <w:rFonts w:hint="eastAsia" w:ascii="仿宋_GB2312" w:hAnsi="仿宋_GB2312" w:eastAsia="仿宋_GB2312" w:cs="仿宋_GB2312"/>
          <w:i w:val="0"/>
          <w:caps w:val="0"/>
          <w:color w:val="auto"/>
          <w:spacing w:val="0"/>
          <w:sz w:val="32"/>
          <w:szCs w:val="32"/>
          <w:u w:val="none"/>
          <w:lang w:val="en-US" w:eastAsia="zh-CN"/>
        </w:rPr>
        <w:t>政府工作报告</w:t>
      </w:r>
      <w:r>
        <w:rPr>
          <w:rFonts w:hint="eastAsia" w:ascii="仿宋_GB2312" w:hAnsi="仿宋_GB2312" w:eastAsia="仿宋_GB2312" w:cs="仿宋_GB2312"/>
          <w:i w:val="0"/>
          <w:caps w:val="0"/>
          <w:color w:val="auto"/>
          <w:spacing w:val="0"/>
          <w:sz w:val="32"/>
          <w:szCs w:val="32"/>
          <w:u w:val="none"/>
          <w:lang w:eastAsia="zh-CN"/>
        </w:rPr>
        <w:t>》并做好任务事项分解，定期</w:t>
      </w:r>
      <w:r>
        <w:rPr>
          <w:rFonts w:hint="eastAsia" w:ascii="仿宋_GB2312" w:hAnsi="仿宋_GB2312" w:eastAsia="仿宋_GB2312" w:cs="仿宋_GB2312"/>
          <w:i w:val="0"/>
          <w:caps w:val="0"/>
          <w:color w:val="auto"/>
          <w:spacing w:val="0"/>
          <w:sz w:val="32"/>
          <w:szCs w:val="32"/>
          <w:u w:val="none"/>
        </w:rPr>
        <w:t>公开政府工作报告重点任务、民生实事项目、重大工程项目的执行</w:t>
      </w:r>
      <w:r>
        <w:rPr>
          <w:rFonts w:hint="eastAsia" w:ascii="仿宋_GB2312" w:hAnsi="仿宋_GB2312" w:eastAsia="仿宋_GB2312" w:cs="仿宋_GB2312"/>
          <w:i w:val="0"/>
          <w:caps w:val="0"/>
          <w:color w:val="auto"/>
          <w:spacing w:val="0"/>
          <w:sz w:val="32"/>
          <w:szCs w:val="32"/>
          <w:u w:val="none"/>
          <w:lang w:eastAsia="zh-CN"/>
        </w:rPr>
        <w:t>落实</w:t>
      </w:r>
      <w:r>
        <w:rPr>
          <w:rFonts w:hint="eastAsia" w:ascii="仿宋_GB2312" w:hAnsi="仿宋_GB2312" w:eastAsia="仿宋_GB2312" w:cs="仿宋_GB2312"/>
          <w:i w:val="0"/>
          <w:caps w:val="0"/>
          <w:color w:val="auto"/>
          <w:spacing w:val="0"/>
          <w:sz w:val="32"/>
          <w:szCs w:val="32"/>
          <w:u w:val="none"/>
        </w:rPr>
        <w:t>情况</w:t>
      </w:r>
      <w:r>
        <w:rPr>
          <w:rFonts w:hint="eastAsia" w:ascii="仿宋_GB2312" w:hAnsi="仿宋_GB2312" w:eastAsia="仿宋_GB2312" w:cs="仿宋_GB2312"/>
          <w:i w:val="0"/>
          <w:caps w:val="0"/>
          <w:color w:val="auto"/>
          <w:spacing w:val="0"/>
          <w:sz w:val="32"/>
          <w:szCs w:val="32"/>
          <w:u w:val="none"/>
          <w:lang w:eastAsia="zh-CN"/>
        </w:rPr>
        <w:t>；坚持以公开促落实、促规范、促服务，</w:t>
      </w:r>
      <w:r>
        <w:rPr>
          <w:rFonts w:hint="eastAsia" w:ascii="仿宋_GB2312" w:hAnsi="仿宋_GB2312" w:eastAsia="仿宋_GB2312" w:cs="仿宋_GB2312"/>
          <w:i w:val="0"/>
          <w:caps w:val="0"/>
          <w:color w:val="auto"/>
          <w:spacing w:val="0"/>
          <w:sz w:val="32"/>
          <w:szCs w:val="32"/>
          <w:u w:val="none"/>
          <w:lang w:val="en-US" w:eastAsia="zh-CN"/>
        </w:rPr>
        <w:t>23个</w:t>
      </w:r>
      <w:r>
        <w:rPr>
          <w:rFonts w:hint="eastAsia" w:ascii="仿宋_GB2312" w:hAnsi="仿宋_GB2312" w:eastAsia="仿宋_GB2312" w:cs="仿宋_GB2312"/>
          <w:i w:val="0"/>
          <w:caps w:val="0"/>
          <w:color w:val="auto"/>
          <w:spacing w:val="0"/>
          <w:sz w:val="32"/>
          <w:szCs w:val="32"/>
          <w:u w:val="none"/>
          <w:lang w:eastAsia="zh-CN"/>
        </w:rPr>
        <w:t>重点任务公开承诺事项办理结果通过政府网站对社会公开。</w:t>
      </w:r>
    </w:p>
    <w:p>
      <w:pPr>
        <w:pStyle w:val="6"/>
        <w:widowControl/>
        <w:spacing w:before="0" w:beforeAutospacing="0" w:after="0" w:afterAutospacing="0" w:line="560" w:lineRule="exact"/>
        <w:ind w:firstLine="643" w:firstLineChars="200"/>
        <w:rPr>
          <w:rFonts w:hint="eastAsia"/>
          <w:color w:val="auto"/>
          <w:lang w:val="en-US" w:eastAsia="zh-CN"/>
        </w:rPr>
      </w:pPr>
      <w:r>
        <w:rPr>
          <w:rFonts w:hint="eastAsia" w:ascii="仿宋_GB2312" w:hAnsi="仿宋_GB2312" w:eastAsia="仿宋_GB2312" w:cs="仿宋_GB2312"/>
          <w:b/>
          <w:bCs/>
          <w:color w:val="auto"/>
          <w:kern w:val="2"/>
          <w:sz w:val="32"/>
          <w:szCs w:val="32"/>
          <w:lang w:val="en-US" w:eastAsia="zh-CN" w:bidi="ar-SA"/>
        </w:rPr>
        <w:t>拓展公开方式，畅通公开渠道。</w:t>
      </w:r>
      <w:r>
        <w:rPr>
          <w:rFonts w:hint="eastAsia" w:ascii="仿宋_GB2312" w:hAnsi="仿宋_GB2312" w:eastAsia="仿宋_GB2312" w:cs="仿宋_GB2312"/>
          <w:b w:val="0"/>
          <w:bCs w:val="0"/>
          <w:color w:val="auto"/>
          <w:sz w:val="32"/>
          <w:szCs w:val="32"/>
          <w:lang w:eastAsia="zh-CN"/>
        </w:rPr>
        <w:t>全面加强</w:t>
      </w:r>
      <w:r>
        <w:rPr>
          <w:rFonts w:hint="eastAsia" w:ascii="仿宋_GB2312" w:hAnsi="仿宋_GB2312" w:eastAsia="仿宋_GB2312" w:cs="仿宋_GB2312"/>
          <w:b w:val="0"/>
          <w:bCs w:val="0"/>
          <w:color w:val="auto"/>
          <w:sz w:val="32"/>
          <w:szCs w:val="32"/>
        </w:rPr>
        <w:t>政府网站及政务新媒体平</w:t>
      </w:r>
      <w:r>
        <w:rPr>
          <w:rFonts w:ascii="仿宋_GB2312" w:hAnsi="仿宋_GB2312" w:eastAsia="仿宋_GB2312" w:cs="仿宋_GB2312"/>
          <w:b w:val="0"/>
          <w:bCs w:val="0"/>
          <w:color w:val="auto"/>
          <w:sz w:val="32"/>
          <w:szCs w:val="32"/>
        </w:rPr>
        <w:t>台</w:t>
      </w:r>
      <w:r>
        <w:rPr>
          <w:rFonts w:hint="eastAsia" w:ascii="仿宋_GB2312" w:hAnsi="仿宋_GB2312" w:eastAsia="仿宋_GB2312" w:cs="仿宋_GB2312"/>
          <w:b w:val="0"/>
          <w:bCs w:val="0"/>
          <w:color w:val="auto"/>
          <w:sz w:val="32"/>
          <w:szCs w:val="32"/>
          <w:lang w:eastAsia="zh-CN"/>
        </w:rPr>
        <w:t>管理</w:t>
      </w:r>
      <w:r>
        <w:rPr>
          <w:rFonts w:hint="eastAsia" w:ascii="仿宋_GB2312" w:hAnsi="仿宋_GB2312" w:eastAsia="仿宋_GB2312" w:cs="仿宋_GB2312"/>
          <w:b w:val="0"/>
          <w:bCs w:val="0"/>
          <w:color w:val="auto"/>
          <w:sz w:val="32"/>
          <w:szCs w:val="32"/>
        </w:rPr>
        <w:t>。</w:t>
      </w:r>
      <w:r>
        <w:rPr>
          <w:rFonts w:hint="eastAsia" w:ascii="仿宋_GB2312" w:hAnsi="仿宋_GB2312" w:eastAsia="仿宋_GB2312" w:cs="仿宋_GB2312"/>
          <w:b w:val="0"/>
          <w:bCs w:val="0"/>
          <w:color w:val="auto"/>
          <w:kern w:val="2"/>
          <w:sz w:val="32"/>
          <w:szCs w:val="32"/>
        </w:rPr>
        <w:t>充分发挥政府网站“第一平</w:t>
      </w:r>
      <w:r>
        <w:rPr>
          <w:rFonts w:hint="eastAsia" w:ascii="仿宋_GB2312" w:hAnsi="仿宋_GB2312" w:eastAsia="仿宋_GB2312" w:cs="仿宋_GB2312"/>
          <w:color w:val="auto"/>
          <w:kern w:val="2"/>
          <w:sz w:val="32"/>
          <w:szCs w:val="32"/>
        </w:rPr>
        <w:t>台”作用，强</w:t>
      </w:r>
      <w:r>
        <w:rPr>
          <w:rFonts w:ascii="仿宋_GB2312" w:hAnsi="仿宋_GB2312" w:eastAsia="仿宋_GB2312" w:cs="仿宋_GB2312"/>
          <w:color w:val="auto"/>
          <w:kern w:val="2"/>
          <w:sz w:val="32"/>
          <w:szCs w:val="32"/>
        </w:rPr>
        <w:t>化政务新媒体备案监管和</w:t>
      </w:r>
      <w:r>
        <w:rPr>
          <w:rFonts w:hint="eastAsia" w:ascii="仿宋_GB2312" w:hAnsi="仿宋_GB2312" w:eastAsia="仿宋_GB2312" w:cs="仿宋_GB2312"/>
          <w:color w:val="auto"/>
          <w:kern w:val="2"/>
          <w:sz w:val="32"/>
          <w:szCs w:val="32"/>
        </w:rPr>
        <w:t>完善</w:t>
      </w:r>
      <w:r>
        <w:rPr>
          <w:rFonts w:ascii="仿宋_GB2312" w:hAnsi="仿宋_GB2312" w:eastAsia="仿宋_GB2312" w:cs="仿宋_GB2312"/>
          <w:color w:val="auto"/>
          <w:kern w:val="2"/>
          <w:sz w:val="32"/>
          <w:szCs w:val="32"/>
        </w:rPr>
        <w:t>服务功能，</w:t>
      </w:r>
      <w:r>
        <w:rPr>
          <w:rFonts w:hint="eastAsia" w:ascii="仿宋_GB2312" w:hAnsi="仿宋_GB2312" w:eastAsia="仿宋_GB2312" w:cs="仿宋_GB2312"/>
          <w:color w:val="auto"/>
          <w:kern w:val="2"/>
          <w:sz w:val="32"/>
          <w:szCs w:val="32"/>
        </w:rPr>
        <w:t>结合网上政务服务能力提升，</w:t>
      </w:r>
      <w:r>
        <w:rPr>
          <w:rFonts w:hint="eastAsia" w:ascii="仿宋_GB2312" w:hAnsi="仿宋_GB2312" w:eastAsia="仿宋_GB2312" w:cs="仿宋_GB2312"/>
          <w:color w:val="auto"/>
          <w:kern w:val="2"/>
          <w:sz w:val="32"/>
          <w:szCs w:val="32"/>
          <w:lang w:eastAsia="zh-CN"/>
        </w:rPr>
        <w:t>强化政府网站和政务新媒体登记备案管理，每季度对全市政府网站和政务新媒体运行情况进行通报，做好违法违规账号清理工作，进一步强化发布内容、更新频率等</w:t>
      </w:r>
      <w:r>
        <w:rPr>
          <w:rFonts w:hint="eastAsia" w:ascii="仿宋_GB2312" w:hAnsi="仿宋_GB2312" w:eastAsia="仿宋_GB2312" w:cs="仿宋_GB2312"/>
          <w:color w:val="auto"/>
          <w:sz w:val="32"/>
          <w:szCs w:val="32"/>
        </w:rPr>
        <w:t>常态化监管</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auto"/>
          <w:kern w:val="2"/>
          <w:sz w:val="32"/>
          <w:szCs w:val="32"/>
        </w:rPr>
        <w:t>对市级政府门户网站进行升级改版，建立“</w:t>
      </w:r>
      <w:r>
        <w:rPr>
          <w:rFonts w:ascii="仿宋_GB2312" w:hAnsi="仿宋_GB2312" w:eastAsia="仿宋_GB2312" w:cs="仿宋_GB2312"/>
          <w:color w:val="auto"/>
          <w:kern w:val="2"/>
          <w:sz w:val="32"/>
          <w:szCs w:val="32"/>
        </w:rPr>
        <w:t>网政</w:t>
      </w:r>
      <w:r>
        <w:rPr>
          <w:rFonts w:hint="eastAsia" w:ascii="仿宋_GB2312" w:hAnsi="仿宋_GB2312" w:eastAsia="仿宋_GB2312" w:cs="仿宋_GB2312"/>
          <w:color w:val="auto"/>
          <w:kern w:val="2"/>
          <w:sz w:val="32"/>
          <w:szCs w:val="32"/>
        </w:rPr>
        <w:t>”</w:t>
      </w:r>
      <w:r>
        <w:rPr>
          <w:rFonts w:ascii="仿宋_GB2312" w:hAnsi="仿宋_GB2312" w:eastAsia="仿宋_GB2312" w:cs="仿宋_GB2312"/>
          <w:color w:val="auto"/>
          <w:kern w:val="2"/>
          <w:sz w:val="32"/>
          <w:szCs w:val="32"/>
        </w:rPr>
        <w:t>协同联动机制，</w:t>
      </w:r>
      <w:r>
        <w:rPr>
          <w:rFonts w:hint="eastAsia" w:ascii="仿宋_GB2312" w:hAnsi="仿宋_GB2312" w:eastAsia="仿宋_GB2312" w:cs="仿宋_GB2312"/>
          <w:color w:val="auto"/>
          <w:kern w:val="2"/>
          <w:sz w:val="32"/>
          <w:szCs w:val="32"/>
        </w:rPr>
        <w:t>优化提升信息公开和政务服务能力。</w:t>
      </w:r>
      <w:r>
        <w:rPr>
          <w:rFonts w:hint="eastAsia" w:ascii="仿宋_GB2312" w:hAnsi="仿宋_GB2312" w:eastAsia="仿宋_GB2312" w:cs="仿宋_GB2312"/>
          <w:b w:val="0"/>
          <w:bCs w:val="0"/>
          <w:color w:val="auto"/>
          <w:sz w:val="32"/>
          <w:szCs w:val="32"/>
        </w:rPr>
        <w:t>积极探索有效公开互动平</w:t>
      </w:r>
      <w:r>
        <w:rPr>
          <w:rFonts w:ascii="仿宋_GB2312" w:hAnsi="仿宋_GB2312" w:eastAsia="仿宋_GB2312" w:cs="仿宋_GB2312"/>
          <w:b w:val="0"/>
          <w:bCs w:val="0"/>
          <w:color w:val="auto"/>
          <w:sz w:val="32"/>
          <w:szCs w:val="32"/>
        </w:rPr>
        <w:t>台</w:t>
      </w:r>
      <w:r>
        <w:rPr>
          <w:rFonts w:hint="eastAsia" w:ascii="仿宋_GB2312" w:hAnsi="仿宋_GB2312" w:eastAsia="仿宋_GB2312" w:cs="仿宋_GB2312"/>
          <w:b w:val="0"/>
          <w:bCs w:val="0"/>
          <w:color w:val="auto"/>
          <w:sz w:val="32"/>
          <w:szCs w:val="32"/>
        </w:rPr>
        <w:t>。抓好线上互动，加强政府网站的咨询服务功能及其互动性，及时公</w:t>
      </w:r>
      <w:r>
        <w:rPr>
          <w:rFonts w:hint="eastAsia" w:ascii="仿宋_GB2312" w:hAnsi="仿宋_GB2312" w:eastAsia="仿宋_GB2312" w:cs="仿宋_GB2312"/>
          <w:color w:val="auto"/>
          <w:sz w:val="32"/>
          <w:szCs w:val="32"/>
        </w:rPr>
        <w:t>开公众留言办理情况，</w:t>
      </w:r>
      <w:r>
        <w:rPr>
          <w:rFonts w:hint="eastAsia" w:ascii="仿宋_GB2312" w:hAnsi="仿宋_GB2312" w:eastAsia="仿宋_GB2312" w:cs="仿宋_GB2312"/>
          <w:color w:val="auto"/>
          <w:kern w:val="2"/>
          <w:sz w:val="32"/>
          <w:szCs w:val="32"/>
        </w:rPr>
        <w:t>丰富线下互动，积极推进办事服务公开标准化，今年市县乡级建设政务公开专区100余处，进一步拓展“互联网+政务服务”，提供“24小时不打烊”的在线政务服务，对政务服务事项实行一次告知，让公众能够更明白、更便捷地获取政府信息，感受到到权威性、一站式、个性化、最便捷的政务公开与服务。</w:t>
      </w:r>
    </w:p>
    <w:p>
      <w:pPr>
        <w:pStyle w:val="10"/>
        <w:keepNext w:val="0"/>
        <w:keepLines w:val="0"/>
        <w:pageBreakBefore w:val="0"/>
        <w:widowControl w:val="0"/>
        <w:kinsoku/>
        <w:wordWrap w:val="0"/>
        <w:overflowPunct/>
        <w:topLinePunct w:val="0"/>
        <w:autoSpaceDE/>
        <w:autoSpaceDN/>
        <w:bidi w:val="0"/>
        <w:adjustRightInd/>
        <w:snapToGrid/>
        <w:spacing w:line="560" w:lineRule="exact"/>
        <w:ind w:left="0" w:leftChars="0" w:firstLine="640" w:firstLineChars="200"/>
        <w:textAlignment w:val="auto"/>
        <w:outlineLvl w:val="9"/>
        <w:rPr>
          <w:rFonts w:hint="eastAsia"/>
          <w:color w:val="auto"/>
          <w:lang w:val="en-US" w:eastAsia="zh-CN"/>
        </w:rPr>
      </w:pPr>
      <w:r>
        <w:rPr>
          <w:rFonts w:hint="eastAsia" w:ascii="仿宋_GB2312" w:hAnsi="仿宋_GB2312" w:eastAsia="仿宋_GB2312" w:cs="仿宋_GB2312"/>
          <w:color w:val="auto"/>
          <w:kern w:val="2"/>
          <w:sz w:val="32"/>
          <w:szCs w:val="32"/>
          <w:lang w:val="en-US" w:eastAsia="zh-CN" w:bidi="ar-SA"/>
        </w:rPr>
        <w:drawing>
          <wp:anchor distT="0" distB="0" distL="114300" distR="114300" simplePos="0" relativeHeight="251663360" behindDoc="0" locked="0" layoutInCell="1" allowOverlap="1">
            <wp:simplePos x="0" y="0"/>
            <wp:positionH relativeFrom="column">
              <wp:posOffset>1270</wp:posOffset>
            </wp:positionH>
            <wp:positionV relativeFrom="paragraph">
              <wp:posOffset>82550</wp:posOffset>
            </wp:positionV>
            <wp:extent cx="5613400" cy="3352800"/>
            <wp:effectExtent l="0" t="0" r="6350" b="0"/>
            <wp:wrapSquare wrapText="bothSides"/>
            <wp:docPr id="6" name="图片 6" descr="烟台市政府门户网站 政策解读与回应关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烟台市政府门户网站 政策解读与回应关切"/>
                    <pic:cNvPicPr>
                      <a:picLocks noChangeAspect="1"/>
                    </pic:cNvPicPr>
                  </pic:nvPicPr>
                  <pic:blipFill>
                    <a:blip r:embed="rId11"/>
                    <a:srcRect b="51878"/>
                    <a:stretch>
                      <a:fillRect/>
                    </a:stretch>
                  </pic:blipFill>
                  <pic:spPr>
                    <a:xfrm>
                      <a:off x="0" y="0"/>
                      <a:ext cx="5613400" cy="3352800"/>
                    </a:xfrm>
                    <a:prstGeom prst="rect">
                      <a:avLst/>
                    </a:prstGeom>
                  </pic:spPr>
                </pic:pic>
              </a:graphicData>
            </a:graphic>
          </wp:anchor>
        </w:drawing>
      </w:r>
      <w:r>
        <w:rPr>
          <w:rFonts w:hint="eastAsia" w:ascii="仿宋_GB2312" w:hAnsi="仿宋_GB2312" w:eastAsia="仿宋_GB2312" w:cs="仿宋_GB2312"/>
          <w:b/>
          <w:bCs/>
          <w:color w:val="auto"/>
          <w:kern w:val="2"/>
          <w:sz w:val="32"/>
          <w:szCs w:val="32"/>
          <w:lang w:val="en-US" w:eastAsia="zh-CN" w:bidi="ar-SA"/>
        </w:rPr>
        <w:t>做好政策解读，回应社会关切。</w:t>
      </w:r>
      <w:r>
        <w:rPr>
          <w:rFonts w:hint="eastAsia" w:ascii="仿宋_GB2312" w:hAnsi="仿宋_GB2312" w:eastAsia="仿宋_GB2312" w:cs="仿宋_GB2312"/>
          <w:color w:val="auto"/>
          <w:kern w:val="2"/>
          <w:sz w:val="32"/>
          <w:szCs w:val="32"/>
          <w:lang w:val="en-US" w:eastAsia="zh-CN" w:bidi="ar-SA"/>
        </w:rPr>
        <w:t>一是</w:t>
      </w:r>
      <w:r>
        <w:rPr>
          <w:rFonts w:hint="eastAsia" w:ascii="仿宋_GB2312" w:hAnsi="仿宋_GB2312" w:eastAsia="仿宋_GB2312" w:cs="仿宋_GB2312"/>
          <w:i w:val="0"/>
          <w:caps w:val="0"/>
          <w:color w:val="auto"/>
          <w:spacing w:val="0"/>
          <w:sz w:val="32"/>
          <w:szCs w:val="32"/>
          <w:shd w:val="clear" w:color="auto" w:fill="FFFFFF"/>
        </w:rPr>
        <w:t>加大政策解读力度，加强舆论引导</w:t>
      </w:r>
      <w:r>
        <w:rPr>
          <w:rFonts w:hint="eastAsia" w:ascii="仿宋_GB2312" w:hAnsi="仿宋_GB2312" w:eastAsia="仿宋_GB2312" w:cs="仿宋_GB2312"/>
          <w:i w:val="0"/>
          <w:caps w:val="0"/>
          <w:color w:val="auto"/>
          <w:spacing w:val="0"/>
          <w:sz w:val="32"/>
          <w:szCs w:val="32"/>
          <w:shd w:val="clear" w:color="auto" w:fill="FFFFFF"/>
          <w:lang w:eastAsia="zh-CN"/>
        </w:rPr>
        <w:t>。印发《烟台市行政机关政策文件解读实施办法》，</w:t>
      </w:r>
      <w:r>
        <w:rPr>
          <w:rFonts w:hint="eastAsia" w:ascii="仿宋_GB2312" w:hAnsi="仿宋_GB2312" w:eastAsia="仿宋_GB2312" w:cs="仿宋_GB2312"/>
          <w:color w:val="auto"/>
          <w:kern w:val="32"/>
          <w:sz w:val="32"/>
          <w:szCs w:val="32"/>
          <w:lang w:val="en-US" w:eastAsia="zh-CN" w:bidi="ar"/>
        </w:rPr>
        <w:t>进一步加强和规范全市行政机关政策文件解读工</w:t>
      </w:r>
      <w:r>
        <w:rPr>
          <w:rFonts w:hint="eastAsia" w:ascii="仿宋_GB2312" w:hAnsi="仿宋_GB2312" w:eastAsia="仿宋_GB2312" w:cs="仿宋_GB2312"/>
          <w:i w:val="0"/>
          <w:caps w:val="0"/>
          <w:color w:val="auto"/>
          <w:spacing w:val="0"/>
          <w:sz w:val="32"/>
          <w:szCs w:val="32"/>
          <w:shd w:val="clear" w:color="auto" w:fill="FFFFFF"/>
          <w:lang w:val="en-US" w:eastAsia="zh-CN"/>
        </w:rPr>
        <w:t>作</w:t>
      </w:r>
      <w:r>
        <w:rPr>
          <w:rFonts w:hint="eastAsia" w:ascii="仿宋_GB2312" w:hAnsi="仿宋_GB2312" w:eastAsia="仿宋_GB2312" w:cs="仿宋_GB2312"/>
          <w:i w:val="0"/>
          <w:caps w:val="0"/>
          <w:color w:val="auto"/>
          <w:spacing w:val="0"/>
          <w:sz w:val="32"/>
          <w:szCs w:val="32"/>
          <w:shd w:val="clear" w:color="auto" w:fill="FFFFFF"/>
          <w:lang w:eastAsia="zh-CN"/>
        </w:rPr>
        <w:t>，</w:t>
      </w:r>
      <w:r>
        <w:rPr>
          <w:rFonts w:hint="eastAsia" w:ascii="仿宋_GB2312" w:hAnsi="仿宋_GB2312" w:eastAsia="仿宋_GB2312" w:cs="仿宋_GB2312"/>
          <w:i w:val="0"/>
          <w:caps w:val="0"/>
          <w:color w:val="auto"/>
          <w:spacing w:val="0"/>
          <w:sz w:val="32"/>
          <w:szCs w:val="32"/>
          <w:shd w:val="clear" w:color="auto" w:fill="FFFFFF"/>
        </w:rPr>
        <w:t>明确政策解读与政策文件起草同步组织、同步审签、同步发布，</w:t>
      </w:r>
      <w:r>
        <w:rPr>
          <w:rFonts w:hint="eastAsia" w:ascii="仿宋_GB2312" w:hAnsi="仿宋_GB2312" w:eastAsia="仿宋_GB2312" w:cs="仿宋_GB2312"/>
          <w:i w:val="0"/>
          <w:caps w:val="0"/>
          <w:color w:val="auto"/>
          <w:spacing w:val="0"/>
          <w:sz w:val="32"/>
          <w:szCs w:val="32"/>
          <w:shd w:val="clear" w:color="auto" w:fill="FFFFFF"/>
          <w:lang w:val="en-US" w:eastAsia="zh-CN"/>
        </w:rPr>
        <w:t>坚持完善政策解</w:t>
      </w:r>
      <w:r>
        <w:rPr>
          <w:rFonts w:hint="eastAsia" w:ascii="仿宋_GB2312" w:hAnsi="仿宋_GB2312" w:eastAsia="仿宋_GB2312" w:cs="仿宋_GB2312"/>
          <w:color w:val="auto"/>
          <w:kern w:val="2"/>
          <w:sz w:val="32"/>
          <w:szCs w:val="32"/>
          <w:lang w:val="en-US" w:eastAsia="zh-CN" w:bidi="ar-SA"/>
        </w:rPr>
        <w:t>读与回应关切专栏，通过文字、图解、视频等方式，专题</w:t>
      </w:r>
      <w:r>
        <w:rPr>
          <w:rFonts w:hint="eastAsia" w:ascii="仿宋_GB2312" w:hAnsi="仿宋_GB2312" w:eastAsia="仿宋_GB2312" w:cs="仿宋_GB2312"/>
          <w:i w:val="0"/>
          <w:caps w:val="0"/>
          <w:color w:val="auto"/>
          <w:spacing w:val="8"/>
          <w:sz w:val="32"/>
          <w:szCs w:val="32"/>
          <w:shd w:val="clear" w:fill="FFFFFF"/>
          <w:lang w:eastAsia="zh-CN"/>
        </w:rPr>
        <w:t>推出“</w:t>
      </w:r>
      <w:r>
        <w:rPr>
          <w:rFonts w:hint="eastAsia" w:ascii="仿宋_GB2312" w:hAnsi="仿宋_GB2312" w:eastAsia="仿宋_GB2312" w:cs="仿宋_GB2312"/>
          <w:i w:val="0"/>
          <w:caps w:val="0"/>
          <w:color w:val="auto"/>
          <w:spacing w:val="8"/>
          <w:sz w:val="32"/>
          <w:szCs w:val="32"/>
          <w:shd w:val="clear" w:fill="FFFFFF"/>
        </w:rPr>
        <w:t>政策解读</w:t>
      </w:r>
      <w:r>
        <w:rPr>
          <w:rFonts w:hint="eastAsia" w:ascii="仿宋_GB2312" w:hAnsi="仿宋_GB2312" w:eastAsia="仿宋_GB2312" w:cs="仿宋_GB2312"/>
          <w:i w:val="0"/>
          <w:caps w:val="0"/>
          <w:color w:val="auto"/>
          <w:spacing w:val="8"/>
          <w:sz w:val="32"/>
          <w:szCs w:val="32"/>
          <w:shd w:val="clear" w:fill="FFFFFF"/>
          <w:lang w:eastAsia="zh-CN"/>
        </w:rPr>
        <w:t>”系列</w:t>
      </w:r>
      <w:r>
        <w:rPr>
          <w:rFonts w:hint="eastAsia" w:ascii="仿宋_GB2312" w:hAnsi="仿宋_GB2312" w:eastAsia="仿宋_GB2312" w:cs="仿宋_GB2312"/>
          <w:i w:val="0"/>
          <w:caps w:val="0"/>
          <w:color w:val="auto"/>
          <w:spacing w:val="8"/>
          <w:sz w:val="32"/>
          <w:szCs w:val="32"/>
          <w:shd w:val="clear" w:fill="FFFFFF"/>
        </w:rPr>
        <w:t>新闻发布会</w:t>
      </w:r>
      <w:r>
        <w:rPr>
          <w:rFonts w:hint="eastAsia" w:ascii="仿宋_GB2312" w:hAnsi="仿宋_GB2312" w:eastAsia="仿宋_GB2312" w:cs="仿宋_GB2312"/>
          <w:i w:val="0"/>
          <w:caps w:val="0"/>
          <w:color w:val="auto"/>
          <w:spacing w:val="8"/>
          <w:sz w:val="32"/>
          <w:szCs w:val="32"/>
          <w:shd w:val="clear" w:fill="FFFFFF"/>
          <w:lang w:eastAsia="zh-CN"/>
        </w:rPr>
        <w:t>，市政府办公室、统计局、商务局等部门“一把手”带头解读政策</w:t>
      </w:r>
      <w:r>
        <w:rPr>
          <w:rFonts w:hint="eastAsia" w:ascii="仿宋_GB2312" w:hAnsi="仿宋_GB2312" w:eastAsia="仿宋_GB2312" w:cs="仿宋_GB2312"/>
          <w:i w:val="0"/>
          <w:caps w:val="0"/>
          <w:color w:val="auto"/>
          <w:spacing w:val="8"/>
          <w:sz w:val="32"/>
          <w:szCs w:val="32"/>
          <w:shd w:val="clear" w:fill="FFFFFF"/>
          <w:lang w:val="en-US" w:eastAsia="zh-CN"/>
        </w:rPr>
        <w:t>50余次</w:t>
      </w:r>
      <w:r>
        <w:rPr>
          <w:rFonts w:hint="eastAsia" w:ascii="仿宋_GB2312" w:hAnsi="仿宋_GB2312" w:eastAsia="仿宋_GB2312" w:cs="仿宋_GB2312"/>
          <w:i w:val="0"/>
          <w:caps w:val="0"/>
          <w:color w:val="auto"/>
          <w:spacing w:val="8"/>
          <w:sz w:val="32"/>
          <w:szCs w:val="32"/>
          <w:shd w:val="clear" w:fill="FFFFFF"/>
          <w:lang w:eastAsia="zh-CN"/>
        </w:rPr>
        <w:t>，发布政策图解、简明问答、在线访谈等政策解读信息</w:t>
      </w:r>
      <w:r>
        <w:rPr>
          <w:rFonts w:hint="eastAsia" w:ascii="仿宋_GB2312" w:hAnsi="仿宋_GB2312" w:eastAsia="仿宋_GB2312" w:cs="仿宋_GB2312"/>
          <w:i w:val="0"/>
          <w:caps w:val="0"/>
          <w:color w:val="auto"/>
          <w:spacing w:val="8"/>
          <w:sz w:val="32"/>
          <w:szCs w:val="32"/>
          <w:shd w:val="clear" w:fill="FFFFFF"/>
          <w:lang w:val="en-US" w:eastAsia="zh-CN"/>
        </w:rPr>
        <w:t>210余条；</w:t>
      </w:r>
      <w:r>
        <w:rPr>
          <w:rFonts w:hint="eastAsia" w:ascii="仿宋_GB2312" w:hAnsi="仿宋_GB2312" w:eastAsia="仿宋_GB2312" w:cs="仿宋_GB2312"/>
          <w:color w:val="auto"/>
          <w:kern w:val="2"/>
          <w:sz w:val="32"/>
          <w:szCs w:val="32"/>
          <w:lang w:val="en-US" w:eastAsia="zh-CN" w:bidi="ar-SA"/>
        </w:rPr>
        <w:t>二是创新政民互动模式，积极回应社会关切。改版网站交流互动栏目，设置热点回应、市长信箱、网上调查、新闻发布会、在线访谈、在线咨询等栏目，强化网络直播、电视问政等互动方式，针对经济社会发展热点、群众办事堵点痛点问题，多渠道做好社会关切回应，全年办理网上民声提问16175件，办理完毕16149件，办件回复率99.84%。</w:t>
      </w:r>
      <w:r>
        <w:rPr>
          <w:rFonts w:hint="eastAsia" w:ascii="仿宋_GB2312" w:hAnsi="仿宋_GB2312" w:eastAsia="仿宋_GB2312" w:cs="仿宋_GB2312"/>
          <w:b w:val="0"/>
          <w:bCs w:val="0"/>
          <w:color w:val="auto"/>
          <w:sz w:val="32"/>
          <w:szCs w:val="32"/>
          <w:lang w:val="en-US" w:eastAsia="zh-CN"/>
        </w:rPr>
        <w:t>印发《全市例行新闻发布会实施方案</w:t>
      </w:r>
      <w:r>
        <w:rPr>
          <w:rFonts w:hint="eastAsia" w:ascii="仿宋_GB2312" w:hAnsi="仿宋_GB2312" w:eastAsia="仿宋_GB2312" w:cs="仿宋_GB2312"/>
          <w:b w:val="0"/>
          <w:bCs w:val="0"/>
          <w:color w:val="auto"/>
          <w:kern w:val="2"/>
          <w:sz w:val="32"/>
          <w:szCs w:val="32"/>
          <w:lang w:val="en-US" w:eastAsia="zh-CN" w:bidi="ar-SA"/>
        </w:rPr>
        <w:t>》，市发展改革、教育、民政等与宏观经济、民生关系密切以及社会关注事项较多的32家部门和单位全年共举办新闻发布会104次，及时回应了舆论关切，有效地推动了政务公开。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2.依申请公开工作方面</w:t>
      </w:r>
    </w:p>
    <w:p>
      <w:pPr>
        <w:spacing w:line="560" w:lineRule="exact"/>
        <w:ind w:firstLine="640" w:firstLineChars="20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lang w:eastAsia="zh-CN"/>
        </w:rPr>
        <w:t>年，全市各级行政机关共受理政府信息公开申请</w:t>
      </w:r>
      <w:r>
        <w:rPr>
          <w:rFonts w:hint="eastAsia" w:ascii="仿宋_GB2312" w:hAnsi="仿宋_GB2312" w:eastAsia="仿宋_GB2312" w:cs="仿宋_GB2312"/>
          <w:color w:val="auto"/>
          <w:sz w:val="32"/>
          <w:szCs w:val="32"/>
          <w:lang w:val="en-US" w:eastAsia="zh-CN"/>
        </w:rPr>
        <w:t>1441</w:t>
      </w:r>
      <w:r>
        <w:rPr>
          <w:rFonts w:hint="eastAsia" w:ascii="仿宋_GB2312" w:hAnsi="仿宋_GB2312" w:eastAsia="仿宋_GB2312" w:cs="仿宋_GB2312"/>
          <w:color w:val="auto"/>
          <w:sz w:val="32"/>
          <w:szCs w:val="32"/>
          <w:lang w:eastAsia="zh-CN"/>
        </w:rPr>
        <w:t>件，同比减少</w:t>
      </w:r>
      <w:r>
        <w:rPr>
          <w:rFonts w:hint="eastAsia" w:ascii="仿宋_GB2312" w:hAnsi="仿宋_GB2312" w:eastAsia="仿宋_GB2312" w:cs="仿宋_GB2312"/>
          <w:color w:val="auto"/>
          <w:sz w:val="32"/>
          <w:szCs w:val="32"/>
          <w:lang w:val="en-US" w:eastAsia="zh-CN"/>
        </w:rPr>
        <w:t>13.31</w:t>
      </w:r>
      <w:r>
        <w:rPr>
          <w:rFonts w:hint="eastAsia" w:ascii="仿宋_GB2312" w:hAnsi="仿宋_GB2312" w:eastAsia="仿宋_GB2312" w:cs="仿宋_GB2312"/>
          <w:color w:val="auto"/>
          <w:sz w:val="32"/>
          <w:szCs w:val="32"/>
          <w:lang w:eastAsia="zh-CN"/>
        </w:rPr>
        <w:t>%。其中，市级政府及部门受理</w:t>
      </w:r>
      <w:r>
        <w:rPr>
          <w:rFonts w:hint="eastAsia" w:ascii="仿宋_GB2312" w:hAnsi="仿宋_GB2312" w:eastAsia="仿宋_GB2312" w:cs="仿宋_GB2312"/>
          <w:color w:val="auto"/>
          <w:sz w:val="32"/>
          <w:szCs w:val="32"/>
          <w:lang w:val="en-US" w:eastAsia="zh-CN"/>
        </w:rPr>
        <w:t>572</w:t>
      </w:r>
      <w:r>
        <w:rPr>
          <w:rFonts w:hint="eastAsia" w:ascii="仿宋_GB2312" w:hAnsi="仿宋_GB2312" w:eastAsia="仿宋_GB2312" w:cs="仿宋_GB2312"/>
          <w:color w:val="auto"/>
          <w:sz w:val="32"/>
          <w:szCs w:val="32"/>
          <w:lang w:eastAsia="zh-CN"/>
        </w:rPr>
        <w:t>件，同比下降</w:t>
      </w:r>
      <w:r>
        <w:rPr>
          <w:rFonts w:hint="eastAsia" w:ascii="仿宋_GB2312" w:hAnsi="仿宋_GB2312" w:eastAsia="仿宋_GB2312" w:cs="仿宋_GB2312"/>
          <w:color w:val="auto"/>
          <w:sz w:val="32"/>
          <w:szCs w:val="32"/>
          <w:lang w:val="en-US" w:eastAsia="zh-CN"/>
        </w:rPr>
        <w:t>15.51</w:t>
      </w:r>
      <w:r>
        <w:rPr>
          <w:rFonts w:hint="eastAsia" w:ascii="仿宋_GB2312" w:hAnsi="仿宋_GB2312" w:eastAsia="仿宋_GB2312" w:cs="仿宋_GB2312"/>
          <w:color w:val="auto"/>
          <w:sz w:val="32"/>
          <w:szCs w:val="32"/>
          <w:lang w:eastAsia="zh-CN"/>
        </w:rPr>
        <w:t>%，县级受理8</w:t>
      </w:r>
      <w:r>
        <w:rPr>
          <w:rFonts w:hint="eastAsia" w:ascii="仿宋_GB2312" w:hAnsi="仿宋_GB2312" w:eastAsia="仿宋_GB2312" w:cs="仿宋_GB2312"/>
          <w:color w:val="auto"/>
          <w:sz w:val="32"/>
          <w:szCs w:val="32"/>
          <w:lang w:val="en-US" w:eastAsia="zh-CN"/>
        </w:rPr>
        <w:t>69</w:t>
      </w:r>
      <w:r>
        <w:rPr>
          <w:rFonts w:hint="eastAsia" w:ascii="仿宋_GB2312" w:hAnsi="仿宋_GB2312" w:eastAsia="仿宋_GB2312" w:cs="仿宋_GB2312"/>
          <w:color w:val="auto"/>
          <w:sz w:val="32"/>
          <w:szCs w:val="32"/>
          <w:lang w:eastAsia="zh-CN"/>
        </w:rPr>
        <w:t>件，同比减少</w:t>
      </w:r>
      <w:r>
        <w:rPr>
          <w:rFonts w:hint="eastAsia" w:ascii="仿宋_GB2312" w:hAnsi="仿宋_GB2312" w:eastAsia="仿宋_GB2312" w:cs="仿宋_GB2312"/>
          <w:color w:val="auto"/>
          <w:sz w:val="32"/>
          <w:szCs w:val="32"/>
          <w:lang w:val="en-US" w:eastAsia="zh-CN"/>
        </w:rPr>
        <w:t>1.92</w:t>
      </w:r>
      <w:r>
        <w:rPr>
          <w:rFonts w:hint="eastAsia" w:ascii="仿宋_GB2312" w:hAnsi="仿宋_GB2312" w:eastAsia="仿宋_GB2312" w:cs="仿宋_GB2312"/>
          <w:color w:val="auto"/>
          <w:sz w:val="32"/>
          <w:szCs w:val="32"/>
          <w:lang w:eastAsia="zh-CN"/>
        </w:rPr>
        <w:t>%。从办理的1440件申请答复结果来看，予以公开653件，占45.35%；部分公开189件，占13.12%；不予公开62件，占4.3%；无法提供440件，占30.56%；不予处理35件，占2.43%；其他处理61件，占4.24%。无法提供中，本机关不掌握相关政府信息429件，占29.79%。全市因政府信息依申请公开引起的行政复议</w:t>
      </w:r>
      <w:r>
        <w:rPr>
          <w:rFonts w:hint="eastAsia" w:ascii="仿宋_GB2312" w:hAnsi="仿宋_GB2312" w:eastAsia="仿宋_GB2312" w:cs="仿宋_GB2312"/>
          <w:color w:val="auto"/>
          <w:sz w:val="32"/>
          <w:szCs w:val="32"/>
          <w:lang w:val="en-US" w:eastAsia="zh-CN"/>
        </w:rPr>
        <w:t>40</w:t>
      </w:r>
      <w:r>
        <w:rPr>
          <w:rFonts w:hint="eastAsia" w:ascii="仿宋_GB2312" w:hAnsi="仿宋_GB2312" w:eastAsia="仿宋_GB2312" w:cs="仿宋_GB2312"/>
          <w:color w:val="auto"/>
          <w:sz w:val="32"/>
          <w:szCs w:val="32"/>
          <w:lang w:eastAsia="zh-CN"/>
        </w:rPr>
        <w:t>起，被纠正</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lang w:eastAsia="zh-CN"/>
        </w:rPr>
        <w:t>起，纠错率</w:t>
      </w:r>
      <w:r>
        <w:rPr>
          <w:rFonts w:hint="eastAsia" w:ascii="仿宋_GB2312" w:hAnsi="仿宋_GB2312" w:eastAsia="仿宋_GB2312" w:cs="仿宋_GB2312"/>
          <w:color w:val="auto"/>
          <w:sz w:val="32"/>
          <w:szCs w:val="32"/>
          <w:lang w:val="en-US" w:eastAsia="zh-CN"/>
        </w:rPr>
        <w:t>25%，</w:t>
      </w:r>
      <w:r>
        <w:rPr>
          <w:rFonts w:hint="eastAsia" w:ascii="仿宋_GB2312" w:hAnsi="仿宋_GB2312" w:eastAsia="仿宋_GB2312" w:cs="仿宋_GB2312"/>
          <w:color w:val="auto"/>
          <w:sz w:val="32"/>
          <w:szCs w:val="32"/>
          <w:lang w:eastAsia="zh-CN"/>
        </w:rPr>
        <w:t>行政诉讼</w:t>
      </w:r>
      <w:r>
        <w:rPr>
          <w:rFonts w:hint="eastAsia" w:ascii="仿宋_GB2312" w:hAnsi="仿宋_GB2312" w:eastAsia="仿宋_GB2312" w:cs="仿宋_GB2312"/>
          <w:color w:val="auto"/>
          <w:sz w:val="32"/>
          <w:szCs w:val="32"/>
          <w:lang w:val="en-US" w:eastAsia="zh-CN"/>
        </w:rPr>
        <w:t>31</w:t>
      </w:r>
      <w:r>
        <w:rPr>
          <w:rFonts w:hint="eastAsia" w:ascii="仿宋_GB2312" w:hAnsi="仿宋_GB2312" w:eastAsia="仿宋_GB2312" w:cs="仿宋_GB2312"/>
          <w:color w:val="auto"/>
          <w:sz w:val="32"/>
          <w:szCs w:val="32"/>
          <w:lang w:eastAsia="zh-CN"/>
        </w:rPr>
        <w:t>起，被纠正</w:t>
      </w:r>
      <w:r>
        <w:rPr>
          <w:rFonts w:hint="eastAsia" w:ascii="仿宋_GB2312" w:hAnsi="仿宋_GB2312" w:eastAsia="仿宋_GB2312" w:cs="仿宋_GB2312"/>
          <w:color w:val="auto"/>
          <w:sz w:val="32"/>
          <w:szCs w:val="32"/>
          <w:lang w:val="en-US" w:eastAsia="zh-CN"/>
        </w:rPr>
        <w:t>5起</w:t>
      </w:r>
      <w:r>
        <w:rPr>
          <w:rFonts w:hint="eastAsia" w:ascii="仿宋_GB2312" w:hAnsi="仿宋_GB2312" w:eastAsia="仿宋_GB2312" w:cs="仿宋_GB2312"/>
          <w:color w:val="auto"/>
          <w:sz w:val="32"/>
          <w:szCs w:val="32"/>
          <w:lang w:eastAsia="zh-CN"/>
        </w:rPr>
        <w:t>，复议诉讼率及纠错率均比往年有明显增长。</w:t>
      </w:r>
    </w:p>
    <w:p>
      <w:pPr>
        <w:pStyle w:val="2"/>
        <w:ind w:firstLine="640" w:firstLineChars="200"/>
        <w:rPr>
          <w:rFonts w:hint="eastAsia"/>
          <w:lang w:val="en-US" w:eastAsia="zh-CN"/>
        </w:rPr>
      </w:pPr>
      <w:r>
        <w:rPr>
          <w:rFonts w:hint="eastAsia" w:ascii="仿宋_GB2312" w:hAnsi="仿宋_GB2312" w:eastAsia="仿宋_GB2312" w:cs="仿宋_GB2312"/>
          <w:color w:val="auto"/>
          <w:sz w:val="32"/>
          <w:szCs w:val="32"/>
          <w:lang w:val="en-US" w:eastAsia="zh-CN"/>
        </w:rPr>
        <w:t>2020年，为规范全市各级行政机关</w:t>
      </w:r>
      <w:r>
        <w:rPr>
          <w:rFonts w:hint="eastAsia" w:ascii="仿宋_GB2312" w:hAnsi="仿宋_GB2312" w:eastAsia="仿宋_GB2312" w:cs="仿宋_GB2312"/>
          <w:i w:val="0"/>
          <w:caps w:val="0"/>
          <w:color w:val="auto"/>
          <w:spacing w:val="0"/>
          <w:sz w:val="32"/>
          <w:szCs w:val="32"/>
          <w:u w:val="none"/>
        </w:rPr>
        <w:t>依申请公开接收、登记、办理、调查、答复等各个环节工作</w:t>
      </w:r>
      <w:r>
        <w:rPr>
          <w:rFonts w:hint="eastAsia" w:ascii="仿宋_GB2312" w:hAnsi="仿宋_GB2312" w:eastAsia="仿宋_GB2312" w:cs="仿宋_GB2312"/>
          <w:i w:val="0"/>
          <w:caps w:val="0"/>
          <w:color w:val="auto"/>
          <w:spacing w:val="0"/>
          <w:sz w:val="32"/>
          <w:szCs w:val="32"/>
          <w:u w:val="none"/>
          <w:lang w:eastAsia="zh-CN"/>
        </w:rPr>
        <w:t>，增强</w:t>
      </w:r>
      <w:r>
        <w:rPr>
          <w:rFonts w:hint="eastAsia" w:ascii="仿宋_GB2312" w:hAnsi="仿宋_GB2312" w:eastAsia="仿宋_GB2312" w:cs="仿宋_GB2312"/>
          <w:i w:val="0"/>
          <w:caps w:val="0"/>
          <w:color w:val="auto"/>
          <w:spacing w:val="0"/>
          <w:sz w:val="32"/>
          <w:szCs w:val="32"/>
          <w:u w:val="none"/>
        </w:rPr>
        <w:t>程序规范和实体规范，推动</w:t>
      </w:r>
      <w:r>
        <w:rPr>
          <w:rFonts w:hint="eastAsia" w:ascii="仿宋_GB2312" w:hAnsi="仿宋_GB2312" w:eastAsia="仿宋_GB2312" w:cs="仿宋_GB2312"/>
          <w:i w:val="0"/>
          <w:caps w:val="0"/>
          <w:color w:val="auto"/>
          <w:spacing w:val="0"/>
          <w:sz w:val="32"/>
          <w:szCs w:val="32"/>
          <w:u w:val="none"/>
          <w:lang w:eastAsia="zh-CN"/>
        </w:rPr>
        <w:t>全市</w:t>
      </w:r>
      <w:r>
        <w:rPr>
          <w:rFonts w:hint="eastAsia" w:ascii="仿宋_GB2312" w:hAnsi="仿宋_GB2312" w:eastAsia="仿宋_GB2312" w:cs="仿宋_GB2312"/>
          <w:i w:val="0"/>
          <w:caps w:val="0"/>
          <w:color w:val="auto"/>
          <w:spacing w:val="0"/>
          <w:sz w:val="32"/>
          <w:szCs w:val="32"/>
          <w:u w:val="none"/>
        </w:rPr>
        <w:t>行政机关依申请办理的程序化、规范化、标准化</w:t>
      </w:r>
      <w:r>
        <w:rPr>
          <w:rFonts w:hint="eastAsia" w:ascii="仿宋_GB2312" w:hAnsi="仿宋_GB2312" w:eastAsia="仿宋_GB2312" w:cs="仿宋_GB2312"/>
          <w:i w:val="0"/>
          <w:caps w:val="0"/>
          <w:color w:val="auto"/>
          <w:spacing w:val="0"/>
          <w:sz w:val="32"/>
          <w:szCs w:val="32"/>
          <w:u w:val="none"/>
          <w:lang w:eastAsia="zh-CN"/>
        </w:rPr>
        <w:t>，年内</w:t>
      </w:r>
      <w:r>
        <w:rPr>
          <w:rFonts w:hint="eastAsia" w:ascii="仿宋_GB2312" w:hAnsi="仿宋_GB2312" w:eastAsia="仿宋_GB2312" w:cs="仿宋_GB2312"/>
          <w:color w:val="auto"/>
          <w:sz w:val="32"/>
          <w:szCs w:val="32"/>
          <w:lang w:val="en-US" w:eastAsia="zh-CN"/>
        </w:rPr>
        <w:t>举办全市政府系统视频培训班1次，对全市范围内依申请公开进行业务测试，</w:t>
      </w:r>
      <w:r>
        <w:rPr>
          <w:rFonts w:hint="eastAsia" w:ascii="仿宋_GB2312" w:hAnsi="仿宋_GB2312" w:eastAsia="仿宋_GB2312" w:cs="仿宋_GB2312"/>
          <w:color w:val="auto"/>
          <w:kern w:val="2"/>
          <w:sz w:val="32"/>
          <w:szCs w:val="32"/>
        </w:rPr>
        <w:t>逐一</w:t>
      </w:r>
      <w:r>
        <w:rPr>
          <w:rFonts w:ascii="仿宋_GB2312" w:hAnsi="仿宋_GB2312" w:eastAsia="仿宋_GB2312" w:cs="仿宋_GB2312"/>
          <w:color w:val="auto"/>
          <w:kern w:val="2"/>
          <w:sz w:val="32"/>
          <w:szCs w:val="32"/>
        </w:rPr>
        <w:t>打分</w:t>
      </w:r>
      <w:r>
        <w:rPr>
          <w:rFonts w:hint="eastAsia" w:ascii="仿宋_GB2312" w:hAnsi="仿宋_GB2312" w:eastAsia="仿宋_GB2312" w:cs="仿宋_GB2312"/>
          <w:color w:val="auto"/>
          <w:kern w:val="2"/>
          <w:sz w:val="32"/>
          <w:szCs w:val="32"/>
        </w:rPr>
        <w:t>并通报发现的问题，有</w:t>
      </w:r>
      <w:r>
        <w:rPr>
          <w:rFonts w:ascii="仿宋_GB2312" w:hAnsi="仿宋_GB2312" w:eastAsia="仿宋_GB2312" w:cs="仿宋_GB2312"/>
          <w:color w:val="auto"/>
          <w:kern w:val="2"/>
          <w:sz w:val="32"/>
          <w:szCs w:val="32"/>
        </w:rPr>
        <w:t>针对性</w:t>
      </w:r>
      <w:r>
        <w:rPr>
          <w:rFonts w:hint="eastAsia" w:ascii="仿宋_GB2312" w:hAnsi="仿宋_GB2312" w:eastAsia="仿宋_GB2312" w:cs="仿宋_GB2312"/>
          <w:color w:val="auto"/>
          <w:kern w:val="2"/>
          <w:sz w:val="32"/>
          <w:szCs w:val="32"/>
        </w:rPr>
        <w:t>解决少数单位受理渠道不畅、答复形式不规范等问题</w:t>
      </w:r>
      <w:r>
        <w:rPr>
          <w:rFonts w:hint="eastAsia" w:ascii="仿宋_GB2312" w:hAnsi="仿宋_GB2312" w:eastAsia="仿宋_GB2312" w:cs="仿宋_GB2312"/>
          <w:color w:val="auto"/>
          <w:kern w:val="2"/>
          <w:sz w:val="32"/>
          <w:szCs w:val="32"/>
          <w:lang w:eastAsia="zh-CN"/>
        </w:rPr>
        <w:t>；搭建当面申请渠道，</w:t>
      </w:r>
      <w:r>
        <w:rPr>
          <w:rFonts w:hint="eastAsia" w:ascii="仿宋_GB2312" w:hAnsi="仿宋_GB2312" w:eastAsia="仿宋_GB2312" w:cs="仿宋_GB2312"/>
          <w:color w:val="auto"/>
          <w:kern w:val="2"/>
          <w:sz w:val="32"/>
          <w:szCs w:val="32"/>
        </w:rPr>
        <w:t>在市县乡三级政务公开专区或服务区设立依申请公开受理窗口20余处</w:t>
      </w:r>
      <w:r>
        <w:rPr>
          <w:rFonts w:hint="eastAsia" w:ascii="仿宋_GB2312" w:hAnsi="仿宋_GB2312" w:eastAsia="仿宋_GB2312" w:cs="仿宋_GB2312"/>
          <w:color w:val="auto"/>
          <w:kern w:val="2"/>
          <w:sz w:val="32"/>
          <w:szCs w:val="32"/>
          <w:lang w:eastAsia="zh-CN"/>
        </w:rPr>
        <w:t>，方便公众申请政府信息；优化政府网站在线申请渠道，依申请入口接入统一身份认证系统，进一步规范申请人申请政府信息。同时，</w:t>
      </w:r>
      <w:r>
        <w:rPr>
          <w:rFonts w:hint="eastAsia" w:ascii="仿宋_GB2312" w:hAnsi="仿宋_GB2312" w:eastAsia="仿宋_GB2312" w:cs="仿宋_GB2312"/>
          <w:color w:val="auto"/>
          <w:sz w:val="32"/>
          <w:szCs w:val="32"/>
          <w:lang w:val="en-US" w:eastAsia="zh-CN"/>
        </w:rPr>
        <w:t>对在线申请渠道增设超时提醒功能，建立依申请公开接收报备和答复审查机制，不断全市提高政务公开工作人员业务能力和水平。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3.政府信息管理方面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sz w:val="32"/>
          <w:szCs w:val="32"/>
        </w:rPr>
      </w:pPr>
      <w:r>
        <w:rPr>
          <w:rFonts w:hint="eastAsia" w:ascii="仿宋_GB2312" w:eastAsia="仿宋_GB2312" w:cs="仿宋_GB2312"/>
          <w:color w:val="auto"/>
          <w:sz w:val="32"/>
          <w:szCs w:val="32"/>
          <w:lang w:eastAsia="zh-CN"/>
        </w:rPr>
        <w:t>依据</w:t>
      </w:r>
      <w:r>
        <w:rPr>
          <w:rFonts w:hint="eastAsia" w:ascii="仿宋_GB2312" w:eastAsia="仿宋_GB2312" w:cs="仿宋_GB2312"/>
          <w:color w:val="auto"/>
          <w:sz w:val="32"/>
          <w:szCs w:val="32"/>
        </w:rPr>
        <w:t>新修订</w:t>
      </w:r>
      <w:r>
        <w:rPr>
          <w:rFonts w:hint="eastAsia" w:ascii="仿宋_GB2312" w:eastAsia="仿宋_GB2312" w:cs="仿宋_GB2312"/>
          <w:color w:val="auto"/>
          <w:sz w:val="32"/>
          <w:szCs w:val="32"/>
          <w:lang w:eastAsia="zh-CN"/>
        </w:rPr>
        <w:t>的</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eastAsia="zh-CN"/>
        </w:rPr>
        <w:t>政府信息公开</w:t>
      </w:r>
      <w:r>
        <w:rPr>
          <w:rFonts w:hint="eastAsia" w:ascii="仿宋_GB2312" w:eastAsia="仿宋_GB2312" w:cs="仿宋_GB2312"/>
          <w:color w:val="auto"/>
          <w:sz w:val="32"/>
          <w:szCs w:val="32"/>
        </w:rPr>
        <w:t>条例》和</w:t>
      </w:r>
      <w:r>
        <w:rPr>
          <w:rFonts w:hint="eastAsia" w:ascii="仿宋_GB2312" w:eastAsia="仿宋_GB2312" w:cs="仿宋_GB2312"/>
          <w:color w:val="auto"/>
          <w:sz w:val="32"/>
          <w:szCs w:val="32"/>
          <w:lang w:eastAsia="zh-CN"/>
        </w:rPr>
        <w:t>国务院、省政府近几年有关</w:t>
      </w:r>
      <w:r>
        <w:rPr>
          <w:rFonts w:hint="eastAsia" w:ascii="仿宋_GB2312" w:eastAsia="仿宋_GB2312" w:cs="仿宋_GB2312"/>
          <w:color w:val="auto"/>
          <w:sz w:val="32"/>
          <w:szCs w:val="32"/>
        </w:rPr>
        <w:t>政务公开工作要求，</w:t>
      </w:r>
      <w:r>
        <w:rPr>
          <w:rFonts w:hint="eastAsia" w:ascii="仿宋_GB2312" w:hAnsi="仿宋_GB2312" w:eastAsia="仿宋_GB2312" w:cs="仿宋_GB2312"/>
          <w:color w:val="auto"/>
          <w:kern w:val="2"/>
          <w:sz w:val="32"/>
          <w:szCs w:val="32"/>
          <w:lang w:val="en-US" w:eastAsia="zh-CN" w:bidi="ar-SA"/>
        </w:rPr>
        <w:t>结合本地区本部门年度工作重点，</w:t>
      </w:r>
      <w:r>
        <w:rPr>
          <w:rFonts w:hint="eastAsia" w:ascii="仿宋_GB2312" w:eastAsia="仿宋_GB2312" w:cs="仿宋_GB2312"/>
          <w:color w:val="auto"/>
          <w:sz w:val="32"/>
          <w:szCs w:val="32"/>
          <w:lang w:eastAsia="zh-CN"/>
        </w:rPr>
        <w:t>修订发布</w:t>
      </w:r>
      <w:r>
        <w:rPr>
          <w:rFonts w:hint="eastAsia" w:ascii="仿宋_GB2312" w:eastAsia="仿宋_GB2312" w:cs="仿宋_GB2312"/>
          <w:color w:val="auto"/>
          <w:sz w:val="32"/>
          <w:szCs w:val="32"/>
        </w:rPr>
        <w:t>《</w:t>
      </w:r>
      <w:r>
        <w:rPr>
          <w:rFonts w:hint="eastAsia" w:ascii="仿宋_GB2312" w:eastAsia="仿宋_GB2312" w:cs="仿宋_GB2312"/>
          <w:color w:val="auto"/>
          <w:sz w:val="32"/>
          <w:szCs w:val="32"/>
          <w:lang w:eastAsia="zh-CN"/>
        </w:rPr>
        <w:t>烟台</w:t>
      </w:r>
      <w:r>
        <w:rPr>
          <w:rFonts w:hint="eastAsia" w:ascii="仿宋_GB2312" w:eastAsia="仿宋_GB2312" w:cs="仿宋_GB2312"/>
          <w:color w:val="auto"/>
          <w:sz w:val="32"/>
          <w:szCs w:val="32"/>
        </w:rPr>
        <w:t>市政府信息主动公开基本目录》（</w:t>
      </w:r>
      <w:r>
        <w:rPr>
          <w:rFonts w:ascii="仿宋_GB2312" w:eastAsia="仿宋_GB2312" w:cs="仿宋_GB2312"/>
          <w:color w:val="auto"/>
          <w:sz w:val="32"/>
          <w:szCs w:val="32"/>
        </w:rPr>
        <w:t>2020</w:t>
      </w:r>
      <w:r>
        <w:rPr>
          <w:rFonts w:hint="eastAsia" w:ascii="仿宋_GB2312" w:eastAsia="仿宋_GB2312" w:cs="仿宋_GB2312"/>
          <w:color w:val="auto"/>
          <w:sz w:val="32"/>
          <w:szCs w:val="32"/>
        </w:rPr>
        <w:t>年版），</w:t>
      </w:r>
      <w:r>
        <w:rPr>
          <w:rFonts w:hint="eastAsia" w:ascii="仿宋_GB2312" w:hAnsi="仿宋_GB2312" w:eastAsia="仿宋_GB2312" w:cs="仿宋_GB2312"/>
          <w:color w:val="auto"/>
          <w:kern w:val="2"/>
          <w:sz w:val="32"/>
          <w:szCs w:val="32"/>
          <w:lang w:val="en-US" w:eastAsia="zh-CN" w:bidi="ar-SA"/>
        </w:rPr>
        <w:t>并根据部门职责变化及时进行动态更新调整，及时准确地公开政府信息。各级政府部门根据主动公开目录修订完善部门公开事项清单，确保法定主动公开内容公开到位，公开方式规范统一。建立健全政府信息发布机制、政府信息公开审查机制、政府信息公开协调机制和政府信息公开动态调整机制，深入推进“五公开”。加强政府文件规范化管理，建立烟台市政策文件库，累计收录现行有效的市政府文件、市政府办公室文件、部门政策文件429个；高度重视行政规范性文件等重要政府信息全生命周期的规范管理，梳理规范部门规范性文件栏目，根据立、改、废等情况进行动态调整更新；积极推进政府数据开放工作，在烟台市公共数据开放网上发布5期《烟台市公共开放数据目录清单》，公开有效数据资源目录3697个，优质数据资源目录74个，全面消除</w:t>
      </w:r>
      <w:r>
        <w:rPr>
          <w:rFonts w:hint="eastAsia" w:ascii="仿宋_GB2312" w:hAnsi="仿宋_GB2312" w:eastAsia="仿宋_GB2312" w:cs="仿宋_GB2312"/>
          <w:color w:val="auto"/>
          <w:sz w:val="32"/>
          <w:szCs w:val="32"/>
        </w:rPr>
        <w:t>“信息孤岛”</w:t>
      </w:r>
      <w:r>
        <w:rPr>
          <w:rFonts w:hint="eastAsia" w:ascii="仿宋_GB2312" w:hAnsi="仿宋_GB2312" w:eastAsia="仿宋_GB2312" w:cs="仿宋_GB2312"/>
          <w:color w:val="auto"/>
          <w:sz w:val="32"/>
          <w:szCs w:val="32"/>
          <w:lang w:eastAsia="zh-CN"/>
        </w:rPr>
        <w:t>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数据</w:t>
      </w:r>
      <w:r>
        <w:rPr>
          <w:rFonts w:hint="eastAsia" w:ascii="仿宋_GB2312" w:hAnsi="仿宋_GB2312" w:eastAsia="仿宋_GB2312" w:cs="仿宋_GB2312"/>
          <w:color w:val="auto"/>
          <w:sz w:val="32"/>
          <w:szCs w:val="32"/>
        </w:rPr>
        <w:t>烟囱”</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2"/>
          <w:sz w:val="32"/>
          <w:szCs w:val="32"/>
          <w:lang w:val="en-US" w:eastAsia="zh-CN" w:bidi="ar-SA"/>
        </w:rPr>
        <w:t>推动更多的政府原始数据向公众开放，用“数聚”赋能全市各级各部门</w:t>
      </w:r>
      <w:r>
        <w:rPr>
          <w:rFonts w:hint="eastAsia" w:ascii="仿宋_GB2312" w:hAnsi="仿宋_GB2312" w:eastAsia="仿宋_GB2312" w:cs="仿宋_GB2312"/>
          <w:color w:val="auto"/>
          <w:sz w:val="32"/>
          <w:szCs w:val="32"/>
          <w:vertAlign w:val="baseline"/>
          <w:lang w:val="en-US" w:eastAsia="zh-CN"/>
        </w:rPr>
        <w:t>开发业务应用、再造业务流程。在</w:t>
      </w:r>
      <w:r>
        <w:rPr>
          <w:rFonts w:hint="eastAsia" w:ascii="仿宋_GB2312" w:hAnsi="仿宋_GB2312" w:eastAsia="仿宋_GB2312" w:cs="仿宋_GB2312"/>
          <w:color w:val="auto"/>
          <w:sz w:val="32"/>
          <w:szCs w:val="32"/>
          <w:lang w:val="en-US" w:eastAsia="zh-CN"/>
        </w:rPr>
        <w:t>复旦大学和国家信息中心数字中国研究院联合发布的2020年“中国开放数林指数”中，</w:t>
      </w:r>
      <w:r>
        <w:rPr>
          <w:rFonts w:hint="eastAsia" w:ascii="仿宋_GB2312" w:hAnsi="仿宋_GB2312" w:eastAsia="仿宋_GB2312" w:cs="仿宋_GB2312"/>
          <w:color w:val="auto"/>
          <w:sz w:val="32"/>
          <w:szCs w:val="32"/>
        </w:rPr>
        <w:t>烟台</w:t>
      </w:r>
      <w:r>
        <w:rPr>
          <w:rFonts w:hint="eastAsia" w:ascii="仿宋_GB2312" w:hAnsi="仿宋_GB2312" w:eastAsia="仿宋_GB2312" w:cs="仿宋_GB2312"/>
          <w:color w:val="auto"/>
          <w:sz w:val="32"/>
          <w:szCs w:val="32"/>
          <w:lang w:val="en-US" w:eastAsia="zh-CN"/>
        </w:rPr>
        <w:t>“开放数林指数”</w:t>
      </w:r>
      <w:r>
        <w:rPr>
          <w:rFonts w:hint="eastAsia" w:ascii="仿宋_GB2312" w:hAnsi="仿宋_GB2312" w:eastAsia="仿宋_GB2312" w:cs="仿宋_GB2312"/>
          <w:color w:val="auto"/>
          <w:sz w:val="32"/>
          <w:szCs w:val="32"/>
        </w:rPr>
        <w:t>在地级及副省级城市中排名第4</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并获得</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数飞猛进奖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数开成荫奖</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两个奖。</w:t>
      </w:r>
    </w:p>
    <w:p>
      <w:pPr>
        <w:pStyle w:val="2"/>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drawing>
          <wp:anchor distT="0" distB="0" distL="114300" distR="114300" simplePos="0" relativeHeight="251667456" behindDoc="0" locked="0" layoutInCell="1" allowOverlap="1">
            <wp:simplePos x="0" y="0"/>
            <wp:positionH relativeFrom="column">
              <wp:posOffset>9525</wp:posOffset>
            </wp:positionH>
            <wp:positionV relativeFrom="paragraph">
              <wp:posOffset>334010</wp:posOffset>
            </wp:positionV>
            <wp:extent cx="5610225" cy="2697480"/>
            <wp:effectExtent l="9525" t="9525" r="19050" b="17145"/>
            <wp:wrapSquare wrapText="bothSides"/>
            <wp:docPr id="9" name="图片 9"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11"/>
                    <pic:cNvPicPr>
                      <a:picLocks noChangeAspect="1"/>
                    </pic:cNvPicPr>
                  </pic:nvPicPr>
                  <pic:blipFill>
                    <a:blip r:embed="rId12"/>
                    <a:stretch>
                      <a:fillRect/>
                    </a:stretch>
                  </pic:blipFill>
                  <pic:spPr>
                    <a:xfrm>
                      <a:off x="0" y="0"/>
                      <a:ext cx="5610225" cy="2697480"/>
                    </a:xfrm>
                    <a:prstGeom prst="rect">
                      <a:avLst/>
                    </a:prstGeom>
                    <a:ln>
                      <a:solidFill>
                        <a:schemeClr val="bg1">
                          <a:lumMod val="75000"/>
                        </a:schemeClr>
                      </a:solidFill>
                    </a:ln>
                  </pic:spPr>
                </pic:pic>
              </a:graphicData>
            </a:graphic>
          </wp:anchor>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color w:val="auto"/>
          <w:sz w:val="32"/>
          <w:szCs w:val="32"/>
        </w:rPr>
      </w:pPr>
      <w:r>
        <w:rPr>
          <w:rFonts w:hint="eastAsia" w:ascii="楷体_GB2312" w:hAnsi="楷体_GB2312" w:eastAsia="楷体_GB2312" w:cs="楷体_GB2312"/>
          <w:color w:val="auto"/>
          <w:sz w:val="32"/>
          <w:szCs w:val="32"/>
          <w:lang w:val="en-US" w:eastAsia="zh-CN"/>
        </w:rPr>
        <w:t>4.</w:t>
      </w:r>
      <w:r>
        <w:rPr>
          <w:rFonts w:hint="eastAsia" w:ascii="楷体_GB2312" w:hAnsi="楷体_GB2312" w:eastAsia="楷体_GB2312" w:cs="楷体_GB2312"/>
          <w:color w:val="auto"/>
          <w:sz w:val="32"/>
          <w:szCs w:val="32"/>
        </w:rPr>
        <w:t>平台建设</w:t>
      </w:r>
      <w:r>
        <w:rPr>
          <w:rFonts w:hint="eastAsia" w:ascii="楷体_GB2312" w:hAnsi="楷体_GB2312" w:eastAsia="楷体_GB2312" w:cs="楷体_GB2312"/>
          <w:color w:val="auto"/>
          <w:sz w:val="32"/>
          <w:szCs w:val="32"/>
          <w:lang w:eastAsia="zh-CN"/>
        </w:rPr>
        <w:t>方面</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color w:val="auto"/>
          <w:kern w:val="2"/>
          <w:sz w:val="32"/>
          <w:szCs w:val="32"/>
        </w:rPr>
      </w:pPr>
      <w:r>
        <w:rPr>
          <w:rFonts w:hint="eastAsia" w:ascii="仿宋_GB2312" w:hAnsi="仿宋_GB2312" w:eastAsia="仿宋_GB2312" w:cs="仿宋_GB2312"/>
          <w:color w:val="auto"/>
          <w:sz w:val="32"/>
          <w:szCs w:val="32"/>
          <w:lang w:eastAsia="zh-CN"/>
        </w:rPr>
        <w:drawing>
          <wp:anchor distT="0" distB="0" distL="114300" distR="114300" simplePos="0" relativeHeight="251664384" behindDoc="0" locked="0" layoutInCell="1" allowOverlap="1">
            <wp:simplePos x="0" y="0"/>
            <wp:positionH relativeFrom="column">
              <wp:posOffset>2703830</wp:posOffset>
            </wp:positionH>
            <wp:positionV relativeFrom="paragraph">
              <wp:posOffset>5240655</wp:posOffset>
            </wp:positionV>
            <wp:extent cx="2832100" cy="2491740"/>
            <wp:effectExtent l="9525" t="9525" r="15875" b="13335"/>
            <wp:wrapSquare wrapText="bothSides"/>
            <wp:docPr id="8" name="图片 8" descr="微信截图_20210102171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截图_20210102171739"/>
                    <pic:cNvPicPr>
                      <a:picLocks noChangeAspect="1"/>
                    </pic:cNvPicPr>
                  </pic:nvPicPr>
                  <pic:blipFill>
                    <a:blip r:embed="rId13"/>
                    <a:srcRect b="13160"/>
                    <a:stretch>
                      <a:fillRect/>
                    </a:stretch>
                  </pic:blipFill>
                  <pic:spPr>
                    <a:xfrm>
                      <a:off x="0" y="0"/>
                      <a:ext cx="2832100" cy="2491740"/>
                    </a:xfrm>
                    <a:prstGeom prst="rect">
                      <a:avLst/>
                    </a:prstGeom>
                    <a:ln>
                      <a:solidFill>
                        <a:schemeClr val="bg1">
                          <a:lumMod val="75000"/>
                        </a:schemeClr>
                      </a:solidFill>
                    </a:ln>
                  </pic:spPr>
                </pic:pic>
              </a:graphicData>
            </a:graphic>
          </wp:anchor>
        </w:drawing>
      </w:r>
      <w:r>
        <w:rPr>
          <w:rFonts w:hint="eastAsia" w:ascii="仿宋_GB2312" w:hAnsi="仿宋_GB2312" w:eastAsia="仿宋_GB2312" w:cs="仿宋_GB2312"/>
          <w:color w:val="auto"/>
          <w:sz w:val="32"/>
          <w:szCs w:val="32"/>
          <w:highlight w:val="none"/>
          <w:lang w:val="en-US" w:eastAsia="zh-CN"/>
        </w:rPr>
        <w:t>平台管理方面，</w:t>
      </w:r>
      <w:r>
        <w:rPr>
          <w:rFonts w:hint="eastAsia" w:ascii="仿宋_GB2312" w:hAnsi="仿宋_GB2312" w:eastAsia="仿宋_GB2312" w:cs="仿宋_GB2312"/>
          <w:color w:val="auto"/>
          <w:sz w:val="32"/>
          <w:szCs w:val="32"/>
          <w:highlight w:val="none"/>
        </w:rPr>
        <w:t>充分利用政府网站集约化平台优势，强化技术监测，建立长效机制</w:t>
      </w:r>
      <w:r>
        <w:rPr>
          <w:rFonts w:hint="eastAsia" w:ascii="仿宋_GB2312" w:hAnsi="仿宋" w:eastAsia="仿宋_GB2312"/>
          <w:color w:val="auto"/>
          <w:sz w:val="32"/>
          <w:szCs w:val="32"/>
          <w:highlight w:val="none"/>
        </w:rPr>
        <w:t>，完善政府网站集约化平台云防护、云监测等新型防护措施，加强对政府网站</w:t>
      </w:r>
      <w:r>
        <w:rPr>
          <w:rFonts w:hint="eastAsia" w:ascii="仿宋_GB2312" w:hAnsi="仿宋" w:eastAsia="仿宋_GB2312"/>
          <w:color w:val="auto"/>
          <w:sz w:val="32"/>
          <w:szCs w:val="32"/>
          <w:highlight w:val="none"/>
          <w:lang w:val="en-US" w:eastAsia="zh-CN"/>
        </w:rPr>
        <w:t>和政务新媒体</w:t>
      </w:r>
      <w:r>
        <w:rPr>
          <w:rFonts w:hint="eastAsia" w:ascii="仿宋_GB2312" w:hAnsi="仿宋" w:eastAsia="仿宋_GB2312"/>
          <w:color w:val="auto"/>
          <w:sz w:val="32"/>
          <w:szCs w:val="32"/>
          <w:highlight w:val="none"/>
        </w:rPr>
        <w:t>整体运行情况的日常巡检</w:t>
      </w:r>
      <w:r>
        <w:rPr>
          <w:rFonts w:hint="eastAsia" w:ascii="仿宋_GB2312" w:hAnsi="仿宋" w:eastAsia="仿宋_GB2312"/>
          <w:color w:val="auto"/>
          <w:sz w:val="32"/>
          <w:szCs w:val="32"/>
          <w:highlight w:val="none"/>
          <w:lang w:eastAsia="zh-CN"/>
        </w:rPr>
        <w:t>，保障政府网站安全稳定运行</w:t>
      </w:r>
      <w:r>
        <w:rPr>
          <w:rFonts w:hint="eastAsia" w:ascii="仿宋_GB2312" w:hAnsi="仿宋" w:eastAsia="仿宋_GB2312"/>
          <w:color w:val="auto"/>
          <w:sz w:val="32"/>
          <w:szCs w:val="32"/>
          <w:highlight w:val="none"/>
        </w:rPr>
        <w:t>。充分发挥政务新媒体传播速度快、受众面广、互动性强等优势，</w:t>
      </w:r>
      <w:r>
        <w:rPr>
          <w:rFonts w:hint="eastAsia" w:ascii="仿宋_GB2312" w:hAnsi="仿宋" w:eastAsia="仿宋_GB2312"/>
          <w:color w:val="auto"/>
          <w:sz w:val="32"/>
          <w:szCs w:val="32"/>
          <w:highlight w:val="none"/>
          <w:lang w:eastAsia="zh-CN"/>
        </w:rPr>
        <w:t>加强</w:t>
      </w:r>
      <w:r>
        <w:rPr>
          <w:rFonts w:hint="eastAsia" w:ascii="仿宋_GB2312" w:hAnsi="仿宋" w:eastAsia="仿宋_GB2312"/>
          <w:color w:val="auto"/>
          <w:sz w:val="32"/>
          <w:szCs w:val="32"/>
          <w:highlight w:val="none"/>
        </w:rPr>
        <w:t>内容建设</w:t>
      </w:r>
      <w:r>
        <w:rPr>
          <w:rFonts w:hint="eastAsia" w:ascii="仿宋_GB2312" w:hAnsi="仿宋" w:eastAsia="仿宋_GB2312"/>
          <w:color w:val="auto"/>
          <w:sz w:val="32"/>
          <w:szCs w:val="32"/>
          <w:highlight w:val="none"/>
          <w:lang w:eastAsia="zh-CN"/>
        </w:rPr>
        <w:t>，</w:t>
      </w:r>
      <w:r>
        <w:rPr>
          <w:rFonts w:hint="eastAsia" w:ascii="仿宋_GB2312" w:hAnsi="仿宋" w:eastAsia="仿宋_GB2312"/>
          <w:color w:val="auto"/>
          <w:sz w:val="32"/>
          <w:szCs w:val="32"/>
          <w:highlight w:val="none"/>
        </w:rPr>
        <w:t>不断强化</w:t>
      </w:r>
      <w:r>
        <w:rPr>
          <w:rFonts w:hint="eastAsia" w:ascii="仿宋_GB2312" w:hAnsi="仿宋" w:eastAsia="仿宋_GB2312"/>
          <w:color w:val="auto"/>
          <w:sz w:val="32"/>
          <w:szCs w:val="32"/>
          <w:highlight w:val="none"/>
          <w:lang w:eastAsia="zh-CN"/>
        </w:rPr>
        <w:t>政务新媒体的</w:t>
      </w:r>
      <w:r>
        <w:rPr>
          <w:rFonts w:hint="eastAsia" w:ascii="仿宋_GB2312" w:hAnsi="仿宋" w:eastAsia="仿宋_GB2312"/>
          <w:color w:val="auto"/>
          <w:sz w:val="32"/>
          <w:szCs w:val="32"/>
          <w:highlight w:val="none"/>
        </w:rPr>
        <w:t>发布、传播、互动、引导、办事等功能，为企业和群众提供更加便捷实用的移动服务。</w:t>
      </w:r>
      <w:r>
        <w:rPr>
          <w:rFonts w:hint="eastAsia" w:ascii="仿宋_GB2312" w:hAnsi="仿宋" w:eastAsia="仿宋_GB2312"/>
          <w:color w:val="auto"/>
          <w:sz w:val="32"/>
          <w:szCs w:val="32"/>
          <w:highlight w:val="none"/>
          <w:lang w:eastAsia="zh-CN"/>
        </w:rPr>
        <w:t>深入</w:t>
      </w:r>
      <w:r>
        <w:rPr>
          <w:rFonts w:hint="eastAsia" w:ascii="仿宋_GB2312" w:hAnsi="仿宋" w:eastAsia="仿宋_GB2312"/>
          <w:color w:val="auto"/>
          <w:sz w:val="32"/>
          <w:szCs w:val="32"/>
          <w:highlight w:val="none"/>
        </w:rPr>
        <w:t>推进政府系统政务新媒体清理整治，按照“谁开设、谁主办”的原则，</w:t>
      </w:r>
      <w:r>
        <w:rPr>
          <w:rFonts w:hint="eastAsia" w:ascii="仿宋_GB2312" w:hAnsi="仿宋" w:eastAsia="仿宋_GB2312"/>
          <w:color w:val="auto"/>
          <w:sz w:val="32"/>
          <w:szCs w:val="32"/>
          <w:highlight w:val="none"/>
          <w:lang w:eastAsia="zh-CN"/>
        </w:rPr>
        <w:t>监督新媒体主管部门切实</w:t>
      </w:r>
      <w:r>
        <w:rPr>
          <w:rFonts w:hint="eastAsia" w:ascii="仿宋_GB2312" w:hAnsi="仿宋" w:eastAsia="仿宋_GB2312"/>
          <w:color w:val="auto"/>
          <w:sz w:val="32"/>
          <w:szCs w:val="32"/>
          <w:highlight w:val="none"/>
        </w:rPr>
        <w:t>履行</w:t>
      </w:r>
      <w:r>
        <w:rPr>
          <w:rFonts w:hint="eastAsia" w:ascii="仿宋_GB2312" w:hAnsi="仿宋" w:eastAsia="仿宋_GB2312"/>
          <w:color w:val="auto"/>
          <w:sz w:val="32"/>
          <w:szCs w:val="32"/>
          <w:highlight w:val="none"/>
          <w:lang w:eastAsia="zh-CN"/>
        </w:rPr>
        <w:t>好</w:t>
      </w:r>
      <w:r>
        <w:rPr>
          <w:rFonts w:hint="eastAsia" w:ascii="仿宋_GB2312" w:hAnsi="仿宋" w:eastAsia="仿宋_GB2312"/>
          <w:color w:val="auto"/>
          <w:sz w:val="32"/>
          <w:szCs w:val="32"/>
          <w:highlight w:val="none"/>
        </w:rPr>
        <w:t>政务新媒体的规划建设、组织保障、健康发展、安全管理等职责。新关停政务新媒体</w:t>
      </w:r>
      <w:r>
        <w:rPr>
          <w:rFonts w:hint="eastAsia" w:ascii="仿宋_GB2312" w:hAnsi="仿宋" w:eastAsia="仿宋_GB2312"/>
          <w:color w:val="auto"/>
          <w:sz w:val="32"/>
          <w:szCs w:val="32"/>
          <w:highlight w:val="none"/>
          <w:lang w:val="en-US" w:eastAsia="zh-CN"/>
        </w:rPr>
        <w:t>176</w:t>
      </w:r>
      <w:r>
        <w:rPr>
          <w:rFonts w:hint="eastAsia" w:ascii="仿宋_GB2312" w:hAnsi="仿宋" w:eastAsia="仿宋_GB2312"/>
          <w:b w:val="0"/>
          <w:bCs w:val="0"/>
          <w:color w:val="auto"/>
          <w:sz w:val="32"/>
          <w:szCs w:val="32"/>
          <w:highlight w:val="none"/>
        </w:rPr>
        <w:t>个，整合</w:t>
      </w:r>
      <w:r>
        <w:rPr>
          <w:rFonts w:hint="eastAsia" w:ascii="仿宋_GB2312" w:hAnsi="仿宋" w:eastAsia="仿宋_GB2312"/>
          <w:b w:val="0"/>
          <w:bCs w:val="0"/>
          <w:color w:val="auto"/>
          <w:sz w:val="32"/>
          <w:szCs w:val="32"/>
          <w:highlight w:val="none"/>
          <w:lang w:val="en-US" w:eastAsia="zh-CN"/>
        </w:rPr>
        <w:t>2个功能单一、体验感差、使用频率低的</w:t>
      </w:r>
      <w:r>
        <w:rPr>
          <w:rFonts w:hint="eastAsia" w:ascii="仿宋_GB2312" w:hAnsi="仿宋" w:eastAsia="仿宋_GB2312"/>
          <w:b w:val="0"/>
          <w:bCs w:val="0"/>
          <w:color w:val="auto"/>
          <w:sz w:val="32"/>
          <w:szCs w:val="32"/>
          <w:highlight w:val="none"/>
          <w:lang w:eastAsia="zh-CN"/>
        </w:rPr>
        <w:t>政务</w:t>
      </w:r>
      <w:r>
        <w:rPr>
          <w:rFonts w:hint="eastAsia" w:ascii="仿宋_GB2312" w:hAnsi="仿宋" w:eastAsia="仿宋_GB2312"/>
          <w:b w:val="0"/>
          <w:bCs w:val="0"/>
          <w:color w:val="auto"/>
          <w:sz w:val="32"/>
          <w:szCs w:val="32"/>
          <w:highlight w:val="none"/>
          <w:lang w:val="en-US" w:eastAsia="zh-CN"/>
        </w:rPr>
        <w:t>APP</w:t>
      </w:r>
      <w:r>
        <w:rPr>
          <w:rFonts w:hint="eastAsia" w:ascii="仿宋_GB2312" w:hAnsi="仿宋" w:eastAsia="仿宋_GB2312"/>
          <w:b w:val="0"/>
          <w:bCs w:val="0"/>
          <w:color w:val="auto"/>
          <w:sz w:val="32"/>
          <w:szCs w:val="32"/>
          <w:highlight w:val="none"/>
        </w:rPr>
        <w:t>，进一步推动解决困扰基层形式主义问题。</w:t>
      </w:r>
      <w:r>
        <w:rPr>
          <w:rFonts w:hint="eastAsia" w:ascii="仿宋_GB2312" w:hAnsi="仿宋_GB2312" w:eastAsia="仿宋_GB2312" w:cs="仿宋_GB2312"/>
          <w:b w:val="0"/>
          <w:bCs w:val="0"/>
          <w:color w:val="auto"/>
          <w:sz w:val="32"/>
          <w:szCs w:val="32"/>
        </w:rPr>
        <w:t>大力推进政府公报数字化平</w:t>
      </w:r>
      <w:r>
        <w:rPr>
          <w:rFonts w:ascii="仿宋_GB2312" w:hAnsi="仿宋_GB2312" w:eastAsia="仿宋_GB2312" w:cs="仿宋_GB2312"/>
          <w:b w:val="0"/>
          <w:bCs w:val="0"/>
          <w:color w:val="auto"/>
          <w:sz w:val="32"/>
          <w:szCs w:val="32"/>
        </w:rPr>
        <w:t>台</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kern w:val="2"/>
          <w:sz w:val="32"/>
          <w:szCs w:val="32"/>
        </w:rPr>
        <w:t>搭建政府公报数据库，将创刊以来刊登内容</w:t>
      </w:r>
      <w:r>
        <w:rPr>
          <w:rFonts w:hint="eastAsia" w:ascii="仿宋_GB2312" w:hAnsi="仿宋_GB2312" w:eastAsia="仿宋_GB2312" w:cs="仿宋_GB2312"/>
          <w:color w:val="auto"/>
          <w:kern w:val="2"/>
          <w:sz w:val="32"/>
          <w:szCs w:val="32"/>
        </w:rPr>
        <w:t>全部入库管理，实现文件分类查询和高级检索功能，进一步强化政府公报服务公众功能，更好地传递政府权威声音。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5.重点领域信息公开</w:t>
      </w:r>
    </w:p>
    <w:p>
      <w:pPr>
        <w:ind w:firstLine="640"/>
        <w:rPr>
          <w:rFonts w:hint="eastAsia" w:ascii="仿宋_GB2312" w:hAnsi="仿宋_GB2312" w:eastAsia="仿宋_GB2312" w:cs="仿宋_GB2312"/>
          <w:i w:val="0"/>
          <w:caps w:val="0"/>
          <w:color w:val="auto"/>
          <w:spacing w:val="0"/>
          <w:sz w:val="32"/>
          <w:szCs w:val="32"/>
          <w:u w:val="none"/>
          <w:shd w:val="clear" w:color="auto" w:fill="FFFFFF"/>
          <w:lang w:eastAsia="zh-CN"/>
        </w:rPr>
      </w:pPr>
      <w:r>
        <w:rPr>
          <w:rFonts w:hint="eastAsia" w:ascii="仿宋_GB2312" w:hAnsi="仿宋_GB2312" w:eastAsia="仿宋_GB2312" w:cs="仿宋_GB2312"/>
          <w:color w:val="auto"/>
          <w:kern w:val="2"/>
          <w:sz w:val="32"/>
          <w:szCs w:val="32"/>
          <w:lang w:val="en-US" w:eastAsia="zh-CN" w:bidi="ar-SA"/>
        </w:rPr>
        <w:t>推进财政预决算信息公开，在政府网站开设专栏，分级分年度公开部门财政预决算信息，公开重点项目绩效情况，</w:t>
      </w:r>
      <w:r>
        <w:rPr>
          <w:rFonts w:hint="eastAsia" w:ascii="仿宋_GB2312" w:hAnsi="仿宋_GB2312" w:eastAsia="仿宋_GB2312" w:cs="仿宋_GB2312"/>
          <w:color w:val="auto"/>
          <w:sz w:val="32"/>
          <w:szCs w:val="32"/>
        </w:rPr>
        <w:t>按月发布财政收支信息，同步解读财政收支增减变化</w:t>
      </w:r>
      <w:r>
        <w:rPr>
          <w:rFonts w:hint="eastAsia" w:ascii="仿宋_GB2312" w:hAnsi="仿宋_GB2312" w:eastAsia="仿宋_GB2312" w:cs="仿宋_GB2312"/>
          <w:color w:val="auto"/>
          <w:sz w:val="32"/>
          <w:szCs w:val="32"/>
          <w:lang w:eastAsia="zh-CN"/>
        </w:rPr>
        <w:t>；</w:t>
      </w:r>
      <w:r>
        <w:drawing>
          <wp:anchor distT="0" distB="0" distL="114300" distR="114300" simplePos="0" relativeHeight="251665408" behindDoc="0" locked="0" layoutInCell="1" allowOverlap="1">
            <wp:simplePos x="0" y="0"/>
            <wp:positionH relativeFrom="column">
              <wp:posOffset>1152525</wp:posOffset>
            </wp:positionH>
            <wp:positionV relativeFrom="paragraph">
              <wp:posOffset>1640205</wp:posOffset>
            </wp:positionV>
            <wp:extent cx="4498340" cy="3001645"/>
            <wp:effectExtent l="0" t="0" r="16510" b="8255"/>
            <wp:wrapSquare wrapText="bothSides"/>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4"/>
                    <a:stretch>
                      <a:fillRect/>
                    </a:stretch>
                  </pic:blipFill>
                  <pic:spPr>
                    <a:xfrm>
                      <a:off x="0" y="0"/>
                      <a:ext cx="4498340" cy="3001645"/>
                    </a:xfrm>
                    <a:prstGeom prst="rect">
                      <a:avLst/>
                    </a:prstGeom>
                    <a:noFill/>
                    <a:ln w="9525">
                      <a:noFill/>
                    </a:ln>
                  </pic:spPr>
                </pic:pic>
              </a:graphicData>
            </a:graphic>
          </wp:anchor>
        </w:drawing>
      </w:r>
      <w:r>
        <w:rPr>
          <w:rFonts w:hint="eastAsia" w:ascii="仿宋_GB2312" w:hAnsi="仿宋_GB2312" w:eastAsia="仿宋_GB2312" w:cs="仿宋_GB2312"/>
          <w:color w:val="auto"/>
          <w:sz w:val="32"/>
          <w:szCs w:val="32"/>
          <w:lang w:eastAsia="zh-CN"/>
        </w:rPr>
        <w:t>定期向社会披露</w:t>
      </w:r>
      <w:r>
        <w:rPr>
          <w:rFonts w:hint="eastAsia" w:ascii="仿宋_GB2312" w:hAnsi="仿宋_GB2312" w:eastAsia="仿宋_GB2312" w:cs="仿宋_GB2312"/>
          <w:color w:val="auto"/>
          <w:sz w:val="32"/>
          <w:szCs w:val="32"/>
        </w:rPr>
        <w:t>政府债务限额、余额、</w:t>
      </w:r>
      <w:r>
        <w:rPr>
          <w:rFonts w:hint="eastAsia" w:ascii="仿宋_GB2312" w:hAnsi="仿宋_GB2312" w:eastAsia="仿宋_GB2312" w:cs="仿宋_GB2312"/>
          <w:color w:val="auto"/>
          <w:sz w:val="32"/>
          <w:szCs w:val="32"/>
          <w:lang w:eastAsia="zh-CN"/>
        </w:rPr>
        <w:t>使用安排及还本付息信息</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2"/>
          <w:sz w:val="32"/>
          <w:szCs w:val="32"/>
          <w:lang w:val="en-US" w:eastAsia="zh-CN" w:bidi="ar-SA"/>
        </w:rPr>
        <w:t>清华大学发布《2020年中国市级政府财政透明度研究报告》，在</w:t>
      </w:r>
      <w:r>
        <w:rPr>
          <w:rFonts w:hint="default" w:ascii="仿宋_GB2312" w:hAnsi="仿宋_GB2312" w:eastAsia="仿宋_GB2312" w:cs="仿宋_GB2312"/>
          <w:color w:val="auto"/>
          <w:kern w:val="2"/>
          <w:sz w:val="32"/>
          <w:szCs w:val="32"/>
          <w:lang w:val="en-US" w:eastAsia="zh-CN" w:bidi="ar-SA"/>
        </w:rPr>
        <w:t>“2020年地级及地级以上市政府财政透明度排行榜”</w:t>
      </w:r>
      <w:r>
        <w:rPr>
          <w:rFonts w:hint="eastAsia" w:ascii="仿宋_GB2312" w:hAnsi="仿宋_GB2312" w:eastAsia="仿宋_GB2312" w:cs="仿宋_GB2312"/>
          <w:color w:val="auto"/>
          <w:kern w:val="2"/>
          <w:sz w:val="32"/>
          <w:szCs w:val="32"/>
          <w:lang w:val="en-US" w:eastAsia="zh-CN" w:bidi="ar-SA"/>
        </w:rPr>
        <w:t>中，烟台</w:t>
      </w:r>
      <w:r>
        <w:rPr>
          <w:rFonts w:hint="default" w:ascii="仿宋_GB2312" w:hAnsi="仿宋_GB2312" w:eastAsia="仿宋_GB2312" w:cs="仿宋_GB2312"/>
          <w:color w:val="auto"/>
          <w:kern w:val="2"/>
          <w:sz w:val="32"/>
          <w:szCs w:val="32"/>
          <w:lang w:val="en-US" w:eastAsia="zh-CN" w:bidi="ar-SA"/>
        </w:rPr>
        <w:t>市位列全国</w:t>
      </w:r>
      <w:r>
        <w:rPr>
          <w:rFonts w:hint="eastAsia" w:ascii="仿宋_GB2312" w:hAnsi="仿宋_GB2312" w:eastAsia="仿宋_GB2312" w:cs="仿宋_GB2312"/>
          <w:color w:val="auto"/>
          <w:kern w:val="2"/>
          <w:sz w:val="32"/>
          <w:szCs w:val="32"/>
          <w:lang w:val="en-US" w:eastAsia="zh-CN" w:bidi="ar-SA"/>
        </w:rPr>
        <w:t>294个地级及地级以上城市</w:t>
      </w:r>
      <w:r>
        <w:rPr>
          <w:rFonts w:hint="default" w:ascii="仿宋_GB2312" w:hAnsi="仿宋_GB2312" w:eastAsia="仿宋_GB2312" w:cs="仿宋_GB2312"/>
          <w:color w:val="auto"/>
          <w:kern w:val="2"/>
          <w:sz w:val="32"/>
          <w:szCs w:val="32"/>
          <w:lang w:val="en-US" w:eastAsia="zh-CN" w:bidi="ar-SA"/>
        </w:rPr>
        <w:t>第</w:t>
      </w:r>
      <w:r>
        <w:rPr>
          <w:rFonts w:hint="eastAsia" w:ascii="仿宋_GB2312" w:hAnsi="仿宋_GB2312" w:eastAsia="仿宋_GB2312" w:cs="仿宋_GB2312"/>
          <w:color w:val="auto"/>
          <w:kern w:val="2"/>
          <w:sz w:val="32"/>
          <w:szCs w:val="32"/>
          <w:lang w:val="en-US" w:eastAsia="zh-CN" w:bidi="ar-SA"/>
        </w:rPr>
        <w:t>1名。推进重大建设项目和公共资源配置信息公开，发布重大建设项目范围，</w:t>
      </w:r>
      <w:r>
        <w:rPr>
          <w:rFonts w:hint="eastAsia" w:ascii="仿宋_GB2312" w:hAnsi="仿宋_GB2312" w:eastAsia="仿宋_GB2312" w:cs="仿宋_GB2312"/>
          <w:i w:val="0"/>
          <w:caps w:val="0"/>
          <w:color w:val="auto"/>
          <w:spacing w:val="0"/>
          <w:sz w:val="32"/>
          <w:szCs w:val="32"/>
          <w:u w:val="none"/>
          <w:lang w:eastAsia="zh-CN"/>
        </w:rPr>
        <w:t>全面梳理发布重大建设项目批准服务事项</w:t>
      </w:r>
      <w:r>
        <w:rPr>
          <w:rFonts w:hint="eastAsia" w:ascii="仿宋_GB2312" w:hAnsi="仿宋_GB2312" w:eastAsia="仿宋_GB2312" w:cs="仿宋_GB2312"/>
          <w:i w:val="0"/>
          <w:caps w:val="0"/>
          <w:color w:val="auto"/>
          <w:spacing w:val="0"/>
          <w:sz w:val="32"/>
          <w:szCs w:val="32"/>
          <w:u w:val="none"/>
          <w:lang w:val="en-US" w:eastAsia="zh-CN"/>
        </w:rPr>
        <w:t>27项，</w:t>
      </w:r>
      <w:r>
        <w:rPr>
          <w:rFonts w:hint="eastAsia" w:ascii="仿宋_GB2312" w:hAnsi="仿宋_GB2312" w:eastAsia="仿宋_GB2312" w:cs="仿宋_GB2312"/>
          <w:i w:val="0"/>
          <w:caps w:val="0"/>
          <w:color w:val="auto"/>
          <w:spacing w:val="0"/>
          <w:sz w:val="32"/>
          <w:szCs w:val="32"/>
          <w:u w:val="none"/>
          <w:lang w:eastAsia="zh-CN"/>
        </w:rPr>
        <w:t>涉及制造业、服务业、重大基础设施等相关的</w:t>
      </w:r>
      <w:r>
        <w:rPr>
          <w:rFonts w:hint="eastAsia" w:ascii="仿宋_GB2312" w:hAnsi="仿宋_GB2312" w:eastAsia="仿宋_GB2312" w:cs="仿宋_GB2312"/>
          <w:i w:val="0"/>
          <w:caps w:val="0"/>
          <w:color w:val="auto"/>
          <w:spacing w:val="0"/>
          <w:sz w:val="32"/>
          <w:szCs w:val="32"/>
          <w:u w:val="none"/>
          <w:lang w:val="en-US" w:eastAsia="zh-CN"/>
        </w:rPr>
        <w:t>23个市级重大建设项目的批准结果信息分页面展示，各项目牵头单位及时在政府网站专栏公开批准结果、招投标、土地征收等相关信息，集中接受公众和社会媒体监督。按时发布全市住房公积金年度报告，做好解读和宣传；更新发布政府集中采购目录及采购标准，在烟台市公共资源交易网公开工程建设、政府采购、国有产权交易等各类招投标信息；推进重点民生与公益事业领域信息公开，</w:t>
      </w:r>
      <w:r>
        <w:rPr>
          <w:rFonts w:hint="eastAsia" w:ascii="仿宋_GB2312" w:hAnsi="仿宋_GB2312" w:eastAsia="仿宋_GB2312" w:cs="仿宋_GB2312"/>
          <w:i w:val="0"/>
          <w:caps w:val="0"/>
          <w:color w:val="auto"/>
          <w:spacing w:val="0"/>
          <w:sz w:val="32"/>
          <w:szCs w:val="32"/>
          <w:u w:val="none"/>
          <w:shd w:val="clear" w:color="auto" w:fill="FFFFFF"/>
        </w:rPr>
        <w:t>对涉及群众切身利益的征地拆迁、保障性住房、环境保护、教育、医疗卫生</w:t>
      </w:r>
      <w:r>
        <w:rPr>
          <w:rFonts w:hint="eastAsia" w:ascii="仿宋_GB2312" w:hAnsi="仿宋_GB2312" w:eastAsia="仿宋_GB2312" w:cs="仿宋_GB2312"/>
          <w:i w:val="0"/>
          <w:caps w:val="0"/>
          <w:color w:val="auto"/>
          <w:spacing w:val="0"/>
          <w:sz w:val="32"/>
          <w:szCs w:val="32"/>
          <w:u w:val="none"/>
          <w:shd w:val="clear" w:color="auto" w:fill="FFFFFF"/>
          <w:lang w:eastAsia="zh-CN"/>
        </w:rPr>
        <w:t>、市场监管、国资国企</w:t>
      </w:r>
      <w:r>
        <w:rPr>
          <w:rFonts w:hint="eastAsia" w:ascii="仿宋_GB2312" w:hAnsi="仿宋_GB2312" w:eastAsia="仿宋_GB2312" w:cs="仿宋_GB2312"/>
          <w:i w:val="0"/>
          <w:caps w:val="0"/>
          <w:color w:val="auto"/>
          <w:spacing w:val="0"/>
          <w:sz w:val="32"/>
          <w:szCs w:val="32"/>
          <w:u w:val="none"/>
          <w:shd w:val="clear" w:color="auto" w:fill="FFFFFF"/>
        </w:rPr>
        <w:t>等重点领域信息进行集中发布，</w:t>
      </w:r>
      <w:r>
        <w:rPr>
          <w:rFonts w:hint="eastAsia" w:ascii="仿宋_GB2312" w:hAnsi="仿宋_GB2312" w:eastAsia="仿宋_GB2312" w:cs="仿宋_GB2312"/>
          <w:i w:val="0"/>
          <w:caps w:val="0"/>
          <w:color w:val="auto"/>
          <w:spacing w:val="0"/>
          <w:sz w:val="32"/>
          <w:szCs w:val="32"/>
          <w:u w:val="none"/>
        </w:rPr>
        <w:t>完善各级公共企事业单位信息公开制度</w:t>
      </w:r>
      <w:r>
        <w:rPr>
          <w:rFonts w:hint="eastAsia" w:ascii="仿宋_GB2312" w:hAnsi="仿宋_GB2312" w:eastAsia="仿宋_GB2312" w:cs="仿宋_GB2312"/>
          <w:i w:val="0"/>
          <w:caps w:val="0"/>
          <w:color w:val="auto"/>
          <w:spacing w:val="0"/>
          <w:sz w:val="32"/>
          <w:szCs w:val="32"/>
          <w:u w:val="none"/>
          <w:lang w:eastAsia="zh-CN"/>
        </w:rPr>
        <w:t>，指导辖区内</w:t>
      </w:r>
      <w:r>
        <w:rPr>
          <w:rFonts w:hint="eastAsia" w:ascii="仿宋_GB2312" w:hAnsi="仿宋_GB2312" w:eastAsia="仿宋_GB2312" w:cs="仿宋_GB2312"/>
          <w:i w:val="0"/>
          <w:caps w:val="0"/>
          <w:color w:val="auto"/>
          <w:spacing w:val="0"/>
          <w:sz w:val="32"/>
          <w:szCs w:val="32"/>
          <w:u w:val="none"/>
          <w:shd w:val="clear" w:color="auto" w:fill="FFFFFF"/>
        </w:rPr>
        <w:t>教育、卫生健康、</w:t>
      </w:r>
      <w:r>
        <w:rPr>
          <w:rFonts w:hint="eastAsia" w:ascii="仿宋_GB2312" w:hAnsi="仿宋_GB2312" w:eastAsia="仿宋_GB2312" w:cs="仿宋_GB2312"/>
          <w:i w:val="0"/>
          <w:caps w:val="0"/>
          <w:color w:val="auto"/>
          <w:spacing w:val="0"/>
          <w:sz w:val="32"/>
          <w:szCs w:val="32"/>
          <w:u w:val="none"/>
          <w:shd w:val="clear" w:color="auto" w:fill="FFFFFF"/>
          <w:lang w:eastAsia="zh-CN"/>
        </w:rPr>
        <w:t>水电气热</w:t>
      </w:r>
      <w:r>
        <w:rPr>
          <w:rFonts w:hint="eastAsia" w:ascii="仿宋_GB2312" w:hAnsi="仿宋_GB2312" w:eastAsia="仿宋_GB2312" w:cs="仿宋_GB2312"/>
          <w:i w:val="0"/>
          <w:caps w:val="0"/>
          <w:color w:val="auto"/>
          <w:spacing w:val="0"/>
          <w:sz w:val="32"/>
          <w:szCs w:val="32"/>
          <w:u w:val="none"/>
          <w:shd w:val="clear" w:color="auto" w:fill="FFFFFF"/>
        </w:rPr>
        <w:t>、公共交通等领域</w:t>
      </w:r>
      <w:r>
        <w:rPr>
          <w:rFonts w:hint="eastAsia" w:ascii="仿宋_GB2312" w:hAnsi="仿宋_GB2312" w:eastAsia="仿宋_GB2312" w:cs="仿宋_GB2312"/>
          <w:i w:val="0"/>
          <w:caps w:val="0"/>
          <w:color w:val="auto"/>
          <w:spacing w:val="0"/>
          <w:sz w:val="32"/>
          <w:szCs w:val="32"/>
          <w:u w:val="none"/>
          <w:shd w:val="clear" w:color="auto" w:fill="FFFFFF"/>
          <w:lang w:eastAsia="zh-CN"/>
        </w:rPr>
        <w:t>相关</w:t>
      </w:r>
      <w:r>
        <w:rPr>
          <w:rFonts w:hint="eastAsia" w:ascii="仿宋_GB2312" w:hAnsi="仿宋_GB2312" w:eastAsia="仿宋_GB2312" w:cs="仿宋_GB2312"/>
          <w:i w:val="0"/>
          <w:caps w:val="0"/>
          <w:color w:val="auto"/>
          <w:spacing w:val="0"/>
          <w:sz w:val="32"/>
          <w:szCs w:val="32"/>
          <w:u w:val="none"/>
          <w:shd w:val="clear" w:color="auto" w:fill="FFFFFF"/>
        </w:rPr>
        <w:t>企事业单位</w:t>
      </w:r>
      <w:r>
        <w:rPr>
          <w:rFonts w:hint="eastAsia" w:ascii="仿宋_GB2312" w:hAnsi="仿宋_GB2312" w:eastAsia="仿宋_GB2312" w:cs="仿宋_GB2312"/>
          <w:i w:val="0"/>
          <w:caps w:val="0"/>
          <w:color w:val="auto"/>
          <w:spacing w:val="0"/>
          <w:sz w:val="32"/>
          <w:szCs w:val="32"/>
          <w:u w:val="none"/>
          <w:shd w:val="clear" w:color="auto" w:fill="FFFFFF"/>
          <w:lang w:eastAsia="zh-CN"/>
        </w:rPr>
        <w:t>做好信息公开。</w:t>
      </w:r>
    </w:p>
    <w:p>
      <w:pPr>
        <w:ind w:firstLine="640"/>
        <w:rPr>
          <w:rFonts w:hint="eastAsia" w:eastAsia="仿宋_GB2312"/>
          <w:color w:val="auto"/>
          <w:lang w:eastAsia="zh-CN"/>
        </w:rPr>
      </w:pPr>
      <w:r>
        <w:rPr>
          <w:rFonts w:hint="eastAsia" w:ascii="仿宋_GB2312" w:hAnsi="仿宋_GB2312" w:eastAsia="仿宋_GB2312" w:cs="仿宋_GB2312"/>
          <w:i w:val="0"/>
          <w:caps w:val="0"/>
          <w:color w:val="auto"/>
          <w:spacing w:val="0"/>
          <w:sz w:val="32"/>
          <w:szCs w:val="32"/>
          <w:u w:val="none"/>
          <w:shd w:val="clear" w:color="auto" w:fill="FFFFFF"/>
          <w:lang w:eastAsia="zh-CN"/>
        </w:rPr>
        <w:t>推进基层政务公开标准化规范化，根据国务院办公厅和省政府办公厅的统一部署，</w:t>
      </w:r>
      <w:r>
        <w:rPr>
          <w:rFonts w:hint="eastAsia" w:ascii="仿宋_GB2312" w:hAnsi="仿宋_GB2312" w:eastAsia="仿宋_GB2312" w:cs="仿宋_GB2312"/>
          <w:color w:val="auto"/>
          <w:sz w:val="32"/>
          <w:szCs w:val="32"/>
          <w:lang w:eastAsia="zh-CN"/>
        </w:rPr>
        <w:t>制发了</w:t>
      </w:r>
      <w:r>
        <w:rPr>
          <w:rFonts w:hint="eastAsia" w:ascii="仿宋_GB2312" w:hAnsi="仿宋_GB2312" w:eastAsia="仿宋_GB2312" w:cs="仿宋_GB2312"/>
          <w:color w:val="auto"/>
          <w:sz w:val="32"/>
          <w:szCs w:val="32"/>
        </w:rPr>
        <w:t>《烟台市全面推进基层政务公开标准化规范化工作实施方案》，突出</w:t>
      </w:r>
      <w:r>
        <w:rPr>
          <w:rFonts w:ascii="仿宋_GB2312" w:hAnsi="仿宋_GB2312" w:eastAsia="仿宋_GB2312" w:cs="仿宋_GB2312"/>
          <w:color w:val="auto"/>
          <w:sz w:val="32"/>
          <w:szCs w:val="32"/>
        </w:rPr>
        <w:t>公开质效和</w:t>
      </w:r>
      <w:r>
        <w:rPr>
          <w:rFonts w:hint="eastAsia" w:ascii="仿宋_GB2312" w:hAnsi="仿宋_GB2312" w:eastAsia="仿宋_GB2312" w:cs="仿宋_GB2312"/>
          <w:color w:val="auto"/>
          <w:sz w:val="32"/>
          <w:szCs w:val="32"/>
        </w:rPr>
        <w:t>结果</w:t>
      </w:r>
      <w:r>
        <w:rPr>
          <w:rFonts w:ascii="仿宋_GB2312" w:hAnsi="仿宋_GB2312" w:eastAsia="仿宋_GB2312" w:cs="仿宋_GB2312"/>
          <w:color w:val="auto"/>
          <w:sz w:val="32"/>
          <w:szCs w:val="32"/>
        </w:rPr>
        <w:t>导向，</w:t>
      </w:r>
      <w:r>
        <w:rPr>
          <w:rFonts w:hint="eastAsia" w:ascii="仿宋_GB2312" w:hAnsi="仿宋_GB2312" w:eastAsia="仿宋_GB2312" w:cs="仿宋_GB2312"/>
          <w:color w:val="auto"/>
          <w:sz w:val="32"/>
          <w:szCs w:val="32"/>
        </w:rPr>
        <w:t>强</w:t>
      </w:r>
      <w:r>
        <w:rPr>
          <w:rFonts w:ascii="仿宋_GB2312" w:hAnsi="仿宋_GB2312" w:eastAsia="仿宋_GB2312" w:cs="仿宋_GB2312"/>
          <w:color w:val="auto"/>
          <w:sz w:val="32"/>
          <w:szCs w:val="32"/>
        </w:rPr>
        <w:t>化</w:t>
      </w:r>
      <w:r>
        <w:rPr>
          <w:rFonts w:hint="eastAsia" w:ascii="仿宋_GB2312" w:hAnsi="仿宋_GB2312" w:eastAsia="仿宋_GB2312" w:cs="仿宋_GB2312"/>
          <w:color w:val="auto"/>
          <w:sz w:val="32"/>
          <w:szCs w:val="32"/>
        </w:rPr>
        <w:t>相关领域市级</w:t>
      </w:r>
      <w:r>
        <w:rPr>
          <w:rFonts w:ascii="仿宋_GB2312" w:hAnsi="仿宋_GB2312" w:eastAsia="仿宋_GB2312" w:cs="仿宋_GB2312"/>
          <w:color w:val="auto"/>
          <w:sz w:val="32"/>
          <w:szCs w:val="32"/>
        </w:rPr>
        <w:t>主管部门对</w:t>
      </w:r>
      <w:r>
        <w:rPr>
          <w:rFonts w:hint="eastAsia" w:ascii="仿宋_GB2312" w:hAnsi="仿宋_GB2312" w:eastAsia="仿宋_GB2312" w:cs="仿宋_GB2312"/>
          <w:color w:val="auto"/>
          <w:sz w:val="32"/>
          <w:szCs w:val="32"/>
        </w:rPr>
        <w:t>基层政</w:t>
      </w:r>
      <w:r>
        <w:rPr>
          <w:rFonts w:ascii="仿宋_GB2312" w:hAnsi="仿宋_GB2312" w:eastAsia="仿宋_GB2312" w:cs="仿宋_GB2312"/>
          <w:color w:val="auto"/>
          <w:sz w:val="32"/>
          <w:szCs w:val="32"/>
        </w:rPr>
        <w:t>务公开</w:t>
      </w:r>
      <w:r>
        <w:rPr>
          <w:rFonts w:hint="eastAsia" w:ascii="仿宋_GB2312" w:hAnsi="仿宋_GB2312" w:eastAsia="仿宋_GB2312" w:cs="仿宋_GB2312"/>
          <w:color w:val="auto"/>
          <w:sz w:val="32"/>
          <w:szCs w:val="32"/>
        </w:rPr>
        <w:t>标准目录编制的指导和审核工作，</w:t>
      </w:r>
      <w:r>
        <w:rPr>
          <w:rFonts w:hint="eastAsia" w:ascii="仿宋_GB2312" w:hAnsi="仿宋_GB2312" w:eastAsia="仿宋_GB2312" w:cs="仿宋_GB2312"/>
          <w:color w:val="auto"/>
          <w:sz w:val="32"/>
          <w:szCs w:val="32"/>
          <w:lang w:val="en-US" w:eastAsia="zh-CN"/>
        </w:rPr>
        <w:t>19个市级相关领域主管部门编制了《烟台市基层政务公开标准目录审核标准》</w:t>
      </w:r>
      <w:r>
        <w:rPr>
          <w:rFonts w:hint="eastAsia" w:ascii="仿宋_GB2312" w:hAnsi="仿宋_GB2312" w:eastAsia="仿宋_GB2312" w:cs="仿宋_GB2312"/>
          <w:color w:val="auto"/>
          <w:sz w:val="32"/>
          <w:szCs w:val="32"/>
        </w:rPr>
        <w:t>加强对区市工作的纵向指导</w:t>
      </w:r>
      <w:r>
        <w:rPr>
          <w:rFonts w:hint="eastAsia" w:ascii="仿宋_GB2312" w:hAnsi="仿宋_GB2312" w:eastAsia="仿宋_GB2312" w:cs="仿宋_GB2312"/>
          <w:color w:val="auto"/>
          <w:sz w:val="32"/>
          <w:szCs w:val="32"/>
          <w:lang w:eastAsia="zh-CN"/>
        </w:rPr>
        <w:t>。各基层政府对照标准指引和审核标准，全面梳理在权力运行、公共服务过程中产生的信息，结合部门职能和工作实际，逐项认定信息公开属性和公开主体，形成了较为完备的区市、镇街两级政务公开事项清单体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6.建议提案办理方面</w:t>
      </w:r>
    </w:p>
    <w:p>
      <w:pPr>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坚持和完善人民代表大会制度和人民政协政治协商制度，推进建议提案办理结果公开，自觉接受市人大、政协及社会各界监督，积极吸纳人大代表和政协委员建议，努力将“有益之言”转化为推动经济高质量发展和社会高水平治理的“有效之策”。2020年，市政府系统共办理代表建议183件，其中，交通环保等城市建设管理类建议占40%，科教文卫等民生保障类建议占32.7%，财政金融等综合经济类建议占22.4%，其他建议占4.9%；办理政协提案532件，其中，科教文卫等民生保障类提案占42.3%，财政金融等综合经济类提案占34.8%，交通环保等城市建设管理类提案占15.6%，其他提案占7.3%；所提意见解决吸纳率分别达73.7%和67.5%，截至2020年底，所有人大代表建议和政协委员提案已全部依法按期办复，并向社会公开了答复意见，办理结果复文内容通过市政府门户网站“人大代表建议政协提案”专栏对社会公开。</w:t>
      </w:r>
      <w:r>
        <w:rPr>
          <w:rFonts w:hint="eastAsia" w:ascii="仿宋_GB2312" w:hAnsi="仿宋_GB2312" w:eastAsia="仿宋_GB2312" w:cs="仿宋_GB2312"/>
          <w:color w:val="auto"/>
          <w:sz w:val="32"/>
          <w:szCs w:val="32"/>
          <w:lang w:val="en-US" w:eastAsia="zh-CN"/>
        </w:rPr>
        <w:drawing>
          <wp:anchor distT="0" distB="0" distL="114300" distR="114300" simplePos="0" relativeHeight="251666432" behindDoc="0" locked="0" layoutInCell="1" allowOverlap="1">
            <wp:simplePos x="0" y="0"/>
            <wp:positionH relativeFrom="column">
              <wp:posOffset>-51435</wp:posOffset>
            </wp:positionH>
            <wp:positionV relativeFrom="paragraph">
              <wp:posOffset>18415</wp:posOffset>
            </wp:positionV>
            <wp:extent cx="5613400" cy="4432300"/>
            <wp:effectExtent l="0" t="0" r="6350" b="6350"/>
            <wp:wrapSquare wrapText="bothSides"/>
            <wp:docPr id="11" name="图片 11" descr="烟台市政府门户网站 建议提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烟台市政府门户网站 建议提案"/>
                    <pic:cNvPicPr>
                      <a:picLocks noChangeAspect="1"/>
                    </pic:cNvPicPr>
                  </pic:nvPicPr>
                  <pic:blipFill>
                    <a:blip r:embed="rId15"/>
                    <a:srcRect b="21652"/>
                    <a:stretch>
                      <a:fillRect/>
                    </a:stretch>
                  </pic:blipFill>
                  <pic:spPr>
                    <a:xfrm>
                      <a:off x="0" y="0"/>
                      <a:ext cx="5613400" cy="4432300"/>
                    </a:xfrm>
                    <a:prstGeom prst="rect">
                      <a:avLst/>
                    </a:prstGeom>
                  </pic:spPr>
                </pic:pic>
              </a:graphicData>
            </a:graphic>
          </wp:anchor>
        </w:drawing>
      </w:r>
    </w:p>
    <w:p>
      <w:pPr>
        <w:ind w:firstLine="640"/>
        <w:rPr>
          <w:rFonts w:hint="eastAsia" w:ascii="楷体_GB2312" w:hAnsi="楷体_GB2312" w:eastAsia="楷体_GB2312" w:cs="楷体_GB2312"/>
          <w:color w:val="auto"/>
          <w:sz w:val="32"/>
          <w:szCs w:val="32"/>
          <w:lang w:val="en-US" w:eastAsia="zh-CN"/>
        </w:rPr>
      </w:pPr>
      <w:r>
        <w:rPr>
          <w:rFonts w:hint="eastAsia" w:ascii="楷体_GB2312" w:hAnsi="楷体_GB2312" w:eastAsia="楷体_GB2312" w:cs="楷体_GB2312"/>
          <w:color w:val="auto"/>
          <w:sz w:val="32"/>
          <w:szCs w:val="32"/>
          <w:lang w:val="en-US" w:eastAsia="zh-CN"/>
        </w:rPr>
        <w:t>7.监督保障方面</w:t>
      </w:r>
    </w:p>
    <w:p>
      <w:pPr>
        <w:pStyle w:val="2"/>
        <w:ind w:firstLine="640" w:firstLineChars="200"/>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sz w:val="32"/>
          <w:szCs w:val="32"/>
          <w:lang w:eastAsia="zh-CN"/>
        </w:rPr>
        <w:t>加强组织领导，完善体制机制。</w:t>
      </w:r>
      <w:r>
        <w:rPr>
          <w:rFonts w:hint="eastAsia" w:ascii="仿宋_GB2312" w:hAnsi="仿宋_GB2312" w:eastAsia="仿宋_GB2312" w:cs="仿宋_GB2312"/>
          <w:color w:val="auto"/>
          <w:sz w:val="32"/>
          <w:szCs w:val="32"/>
        </w:rPr>
        <w:t>根据</w:t>
      </w:r>
      <w:r>
        <w:rPr>
          <w:rFonts w:ascii="仿宋_GB2312" w:hAnsi="仿宋_GB2312" w:eastAsia="仿宋_GB2312" w:cs="仿宋_GB2312"/>
          <w:color w:val="auto"/>
          <w:sz w:val="32"/>
          <w:szCs w:val="32"/>
        </w:rPr>
        <w:t>工作需要</w:t>
      </w:r>
      <w:r>
        <w:rPr>
          <w:rFonts w:hint="eastAsia" w:ascii="仿宋_GB2312" w:hAnsi="仿宋_GB2312" w:eastAsia="仿宋_GB2312" w:cs="仿宋_GB2312"/>
          <w:color w:val="auto"/>
          <w:sz w:val="32"/>
          <w:szCs w:val="32"/>
        </w:rPr>
        <w:t>及时调整全市政务公开工作领导小组，制定了工</w:t>
      </w:r>
      <w:r>
        <w:rPr>
          <w:rFonts w:hint="eastAsia" w:ascii="仿宋_GB2312" w:hAnsi="仿宋_GB2312" w:eastAsia="仿宋_GB2312" w:cs="仿宋_GB2312"/>
          <w:b w:val="0"/>
          <w:bCs w:val="0"/>
          <w:color w:val="auto"/>
          <w:sz w:val="32"/>
          <w:szCs w:val="32"/>
        </w:rPr>
        <w:t>作规则</w:t>
      </w:r>
      <w:r>
        <w:rPr>
          <w:rFonts w:hint="eastAsia" w:ascii="仿宋_GB2312" w:hAnsi="仿宋_GB2312" w:eastAsia="仿宋_GB2312" w:cs="仿宋_GB2312"/>
          <w:b w:val="0"/>
          <w:bCs w:val="0"/>
          <w:color w:val="auto"/>
          <w:sz w:val="32"/>
          <w:szCs w:val="32"/>
          <w:lang w:eastAsia="zh-CN"/>
        </w:rPr>
        <w:t>和工作</w:t>
      </w:r>
      <w:r>
        <w:rPr>
          <w:rFonts w:hint="eastAsia" w:ascii="仿宋_GB2312" w:hAnsi="仿宋_GB2312" w:eastAsia="仿宋_GB2312" w:cs="仿宋_GB2312"/>
          <w:b w:val="0"/>
          <w:bCs w:val="0"/>
          <w:color w:val="auto"/>
          <w:sz w:val="32"/>
          <w:szCs w:val="32"/>
        </w:rPr>
        <w:t>细则</w:t>
      </w:r>
      <w:r>
        <w:rPr>
          <w:rFonts w:hint="eastAsia" w:ascii="仿宋_GB2312" w:hAnsi="仿宋_GB2312" w:eastAsia="仿宋_GB2312" w:cs="仿宋_GB2312"/>
          <w:b w:val="0"/>
          <w:bCs w:val="0"/>
          <w:color w:val="auto"/>
          <w:sz w:val="32"/>
          <w:szCs w:val="32"/>
          <w:lang w:eastAsia="zh-CN"/>
        </w:rPr>
        <w:t>，进一步</w:t>
      </w:r>
      <w:r>
        <w:rPr>
          <w:rFonts w:hint="eastAsia" w:ascii="仿宋_GB2312" w:hAnsi="仿宋_GB2312" w:eastAsia="仿宋_GB2312" w:cs="仿宋_GB2312"/>
          <w:b w:val="0"/>
          <w:bCs w:val="0"/>
          <w:color w:val="auto"/>
          <w:sz w:val="32"/>
          <w:szCs w:val="32"/>
        </w:rPr>
        <w:t>理顺工作机制</w:t>
      </w:r>
      <w:r>
        <w:rPr>
          <w:rFonts w:hint="eastAsia" w:ascii="仿宋_GB2312" w:hAnsi="仿宋_GB2312" w:eastAsia="仿宋_GB2312" w:cs="仿宋_GB2312"/>
          <w:b w:val="0"/>
          <w:bCs w:val="0"/>
          <w:color w:val="auto"/>
          <w:sz w:val="32"/>
          <w:szCs w:val="32"/>
          <w:lang w:eastAsia="zh-CN"/>
        </w:rPr>
        <w:t>，在市政府办公室</w:t>
      </w:r>
      <w:r>
        <w:rPr>
          <w:rFonts w:hint="eastAsia" w:ascii="仿宋_GB2312" w:hAnsi="仿宋_GB2312" w:eastAsia="仿宋_GB2312" w:cs="仿宋_GB2312"/>
          <w:b w:val="0"/>
          <w:bCs w:val="0"/>
          <w:color w:val="auto"/>
          <w:sz w:val="32"/>
          <w:szCs w:val="32"/>
        </w:rPr>
        <w:t>正式成立政务公开办公室，强化全</w:t>
      </w:r>
      <w:r>
        <w:rPr>
          <w:rFonts w:ascii="仿宋_GB2312" w:hAnsi="仿宋_GB2312" w:eastAsia="仿宋_GB2312" w:cs="仿宋_GB2312"/>
          <w:b w:val="0"/>
          <w:bCs w:val="0"/>
          <w:color w:val="auto"/>
          <w:sz w:val="32"/>
          <w:szCs w:val="32"/>
        </w:rPr>
        <w:t>市政务公开工作的统筹</w:t>
      </w:r>
      <w:r>
        <w:rPr>
          <w:rFonts w:hint="eastAsia" w:ascii="仿宋_GB2312" w:hAnsi="仿宋_GB2312" w:eastAsia="仿宋_GB2312" w:cs="仿宋_GB2312"/>
          <w:b w:val="0"/>
          <w:bCs w:val="0"/>
          <w:color w:val="auto"/>
          <w:sz w:val="32"/>
          <w:szCs w:val="32"/>
        </w:rPr>
        <w:t>调</w:t>
      </w:r>
      <w:r>
        <w:rPr>
          <w:rFonts w:ascii="仿宋_GB2312" w:hAnsi="仿宋_GB2312" w:eastAsia="仿宋_GB2312" w:cs="仿宋_GB2312"/>
          <w:b w:val="0"/>
          <w:bCs w:val="0"/>
          <w:color w:val="auto"/>
          <w:sz w:val="32"/>
          <w:szCs w:val="32"/>
        </w:rPr>
        <w:t>度</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加强</w:t>
      </w:r>
      <w:r>
        <w:rPr>
          <w:rFonts w:ascii="仿宋_GB2312" w:hAnsi="仿宋_GB2312" w:eastAsia="仿宋_GB2312" w:cs="仿宋_GB2312"/>
          <w:b w:val="0"/>
          <w:bCs w:val="0"/>
          <w:color w:val="auto"/>
          <w:sz w:val="32"/>
          <w:szCs w:val="32"/>
        </w:rPr>
        <w:t>对各区市政府和市政府各部门</w:t>
      </w:r>
      <w:r>
        <w:rPr>
          <w:rFonts w:hint="eastAsia" w:ascii="仿宋_GB2312" w:hAnsi="仿宋_GB2312" w:eastAsia="仿宋_GB2312" w:cs="仿宋_GB2312"/>
          <w:b w:val="0"/>
          <w:bCs w:val="0"/>
          <w:color w:val="auto"/>
          <w:sz w:val="32"/>
          <w:szCs w:val="32"/>
        </w:rPr>
        <w:t>政</w:t>
      </w:r>
      <w:r>
        <w:rPr>
          <w:rFonts w:ascii="仿宋_GB2312" w:hAnsi="仿宋_GB2312" w:eastAsia="仿宋_GB2312" w:cs="仿宋_GB2312"/>
          <w:b w:val="0"/>
          <w:bCs w:val="0"/>
          <w:color w:val="auto"/>
          <w:sz w:val="32"/>
          <w:szCs w:val="32"/>
        </w:rPr>
        <w:t>务公开</w:t>
      </w:r>
      <w:r>
        <w:rPr>
          <w:rFonts w:hint="eastAsia" w:ascii="仿宋_GB2312" w:hAnsi="仿宋_GB2312" w:eastAsia="仿宋_GB2312" w:cs="仿宋_GB2312"/>
          <w:b w:val="0"/>
          <w:bCs w:val="0"/>
          <w:color w:val="auto"/>
          <w:sz w:val="32"/>
          <w:szCs w:val="32"/>
        </w:rPr>
        <w:t>工作机制理顺</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15个区市均</w:t>
      </w:r>
      <w:r>
        <w:rPr>
          <w:rFonts w:hint="eastAsia" w:ascii="仿宋_GB2312" w:hAnsi="仿宋_GB2312" w:eastAsia="仿宋_GB2312" w:cs="仿宋_GB2312"/>
          <w:b w:val="0"/>
          <w:bCs w:val="0"/>
          <w:color w:val="auto"/>
          <w:sz w:val="32"/>
          <w:szCs w:val="32"/>
          <w:lang w:eastAsia="zh-CN"/>
        </w:rPr>
        <w:t>成立专职机构，</w:t>
      </w:r>
      <w:r>
        <w:rPr>
          <w:rFonts w:hint="eastAsia" w:ascii="仿宋_GB2312" w:hAnsi="仿宋_GB2312" w:eastAsia="仿宋_GB2312" w:cs="仿宋_GB2312"/>
          <w:b w:val="0"/>
          <w:bCs w:val="0"/>
          <w:color w:val="auto"/>
          <w:sz w:val="32"/>
          <w:szCs w:val="32"/>
        </w:rPr>
        <w:t>配齐配强了专职人员，全</w:t>
      </w:r>
      <w:r>
        <w:rPr>
          <w:rFonts w:ascii="仿宋_GB2312" w:hAnsi="仿宋_GB2312" w:eastAsia="仿宋_GB2312" w:cs="仿宋_GB2312"/>
          <w:b w:val="0"/>
          <w:bCs w:val="0"/>
          <w:color w:val="auto"/>
          <w:sz w:val="32"/>
          <w:szCs w:val="32"/>
        </w:rPr>
        <w:t>市上下</w:t>
      </w:r>
      <w:r>
        <w:rPr>
          <w:rFonts w:hint="eastAsia" w:ascii="仿宋_GB2312" w:hAnsi="仿宋_GB2312" w:eastAsia="仿宋_GB2312" w:cs="仿宋_GB2312"/>
          <w:b w:val="0"/>
          <w:bCs w:val="0"/>
          <w:color w:val="auto"/>
          <w:sz w:val="32"/>
          <w:szCs w:val="32"/>
        </w:rPr>
        <w:t>形成了信息畅通、上下联动、协作有为</w:t>
      </w:r>
      <w:r>
        <w:rPr>
          <w:rFonts w:hint="eastAsia" w:ascii="仿宋_GB2312" w:hAnsi="仿宋_GB2312" w:eastAsia="仿宋_GB2312" w:cs="仿宋_GB2312"/>
          <w:color w:val="auto"/>
          <w:sz w:val="32"/>
          <w:szCs w:val="32"/>
        </w:rPr>
        <w:t>的良好局面。</w:t>
      </w:r>
      <w:r>
        <w:rPr>
          <w:rFonts w:hint="eastAsia" w:ascii="仿宋_GB2312" w:hAnsi="仿宋_GB2312" w:eastAsia="仿宋_GB2312" w:cs="仿宋_GB2312"/>
          <w:color w:val="auto"/>
          <w:kern w:val="2"/>
          <w:sz w:val="32"/>
          <w:szCs w:val="32"/>
          <w:lang w:val="en-US" w:eastAsia="zh-CN" w:bidi="ar-SA"/>
        </w:rPr>
        <w:t>市政府办公室梳理了我市政务公开工作中的短板弱项，通过召开会议、专题督查等方式推动整改提升。继续将政务公开工作纳入全市经济社会发展综合考核，分值为10分。认真落实国家、省对政府网站常态化监测的要求，委托第三方机构按季度对全市57家政府网站开展常态化监测并通报反馈问题。加强对全市851个政务新媒体的常态化监管，全年委托第三方机构开展4次检查抽查，对于抽查中发现的问题，发布4期督查通报，督促相关主办单位及时进行整改。制定发布《烟台市人民政府2020年政务公开工作培训计划》，年内开展全市政务公开工作业务培训会议4次，邀请省内专家、市政府法律顾问授课，提升政务公开工作人员的理论素养和业务能力。</w:t>
      </w:r>
    </w:p>
    <w:p>
      <w:pPr>
        <w:rPr>
          <w:rFonts w:hint="eastAsia" w:ascii="仿宋_GB2312" w:hAnsi="仿宋_GB2312" w:eastAsia="仿宋_GB2312" w:cs="仿宋_GB2312"/>
          <w:color w:val="auto"/>
          <w:kern w:val="2"/>
          <w:sz w:val="32"/>
          <w:szCs w:val="32"/>
          <w:lang w:val="en-US" w:eastAsia="zh-CN" w:bidi="ar-SA"/>
        </w:rPr>
      </w:pPr>
    </w:p>
    <w:p>
      <w:pPr>
        <w:pStyle w:val="2"/>
        <w:rPr>
          <w:rFonts w:hint="eastAsia" w:ascii="仿宋_GB2312" w:hAnsi="仿宋_GB2312" w:eastAsia="仿宋_GB2312" w:cs="仿宋_GB2312"/>
          <w:color w:val="auto"/>
          <w:kern w:val="2"/>
          <w:sz w:val="32"/>
          <w:szCs w:val="32"/>
          <w:lang w:val="en-US" w:eastAsia="zh-CN" w:bidi="ar-SA"/>
        </w:rPr>
      </w:pPr>
    </w:p>
    <w:p>
      <w:pPr>
        <w:pStyle w:val="6"/>
        <w:widowControl w:val="0"/>
        <w:spacing w:before="0" w:beforeAutospacing="0" w:after="0" w:afterAutospacing="0" w:line="360" w:lineRule="auto"/>
        <w:ind w:firstLine="640" w:firstLineChars="200"/>
        <w:jc w:val="both"/>
        <w:rPr>
          <w:rFonts w:ascii="黑体" w:hAnsi="黑体" w:eastAsia="黑体" w:cs="黑体"/>
          <w:bCs/>
          <w:color w:val="auto"/>
          <w:sz w:val="32"/>
          <w:szCs w:val="32"/>
        </w:rPr>
      </w:pPr>
      <w:bookmarkStart w:id="0" w:name="_GoBack"/>
      <w:bookmarkEnd w:id="0"/>
      <w:r>
        <w:rPr>
          <w:rFonts w:hint="eastAsia" w:ascii="黑体" w:hAnsi="黑体" w:eastAsia="黑体" w:cs="黑体"/>
          <w:bCs/>
          <w:color w:val="auto"/>
          <w:sz w:val="32"/>
          <w:szCs w:val="32"/>
        </w:rPr>
        <w:t>二、主动公开政府信息情况</w:t>
      </w:r>
    </w:p>
    <w:tbl>
      <w:tblPr>
        <w:tblStyle w:val="9"/>
        <w:tblW w:w="90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86"/>
        <w:gridCol w:w="2376"/>
        <w:gridCol w:w="2048"/>
        <w:gridCol w:w="1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9060" w:type="dxa"/>
            <w:gridSpan w:val="4"/>
            <w:shd w:val="clear" w:color="auto" w:fill="FFFFFF" w:themeFill="background1"/>
            <w:noWrap/>
            <w:vAlign w:val="center"/>
          </w:tcPr>
          <w:p>
            <w:pPr>
              <w:adjustRightInd w:val="0"/>
              <w:snapToGrid w:val="0"/>
              <w:jc w:val="center"/>
              <w:rPr>
                <w:rFonts w:ascii="黑体" w:eastAsia="黑体"/>
                <w:color w:val="FFFFFF"/>
                <w:sz w:val="24"/>
                <w:szCs w:val="24"/>
              </w:rPr>
            </w:pPr>
            <w:r>
              <w:rPr>
                <w:rFonts w:hint="eastAsia" w:ascii="黑体" w:hAnsi="黑体" w:eastAsia="黑体" w:cs="宋体"/>
                <w:color w:val="000000"/>
                <w:kern w:val="0"/>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786" w:type="dxa"/>
            <w:shd w:val="clear" w:color="auto" w:fill="B8CCE4"/>
            <w:noWrap/>
            <w:vAlign w:val="center"/>
          </w:tcPr>
          <w:p>
            <w:pPr>
              <w:adjustRightInd w:val="0"/>
              <w:snapToGrid w:val="0"/>
              <w:jc w:val="center"/>
              <w:rPr>
                <w:rFonts w:ascii="黑体" w:eastAsia="黑体"/>
                <w:color w:val="000000"/>
                <w:sz w:val="24"/>
                <w:szCs w:val="24"/>
              </w:rPr>
            </w:pPr>
            <w:r>
              <w:rPr>
                <w:rFonts w:hint="eastAsia" w:ascii="黑体" w:hAnsi="宋体" w:eastAsia="黑体" w:cs="宋体"/>
                <w:color w:val="000000"/>
                <w:kern w:val="0"/>
                <w:sz w:val="24"/>
                <w:szCs w:val="24"/>
              </w:rPr>
              <w:t>信息内容</w:t>
            </w:r>
          </w:p>
        </w:tc>
        <w:tc>
          <w:tcPr>
            <w:tcW w:w="2376" w:type="dxa"/>
            <w:shd w:val="clear" w:color="auto" w:fill="B8CCE4"/>
            <w:noWrap/>
            <w:vAlign w:val="center"/>
          </w:tcPr>
          <w:p>
            <w:pPr>
              <w:adjustRightInd w:val="0"/>
              <w:snapToGrid w:val="0"/>
              <w:jc w:val="center"/>
              <w:rPr>
                <w:rFonts w:ascii="黑体" w:eastAsia="黑体"/>
                <w:color w:val="000000"/>
                <w:sz w:val="24"/>
                <w:szCs w:val="24"/>
              </w:rPr>
            </w:pPr>
            <w:r>
              <w:rPr>
                <w:rFonts w:hint="eastAsia" w:ascii="黑体" w:hAnsi="宋体" w:eastAsia="黑体" w:cs="宋体"/>
                <w:color w:val="000000"/>
                <w:kern w:val="0"/>
                <w:sz w:val="24"/>
                <w:szCs w:val="24"/>
              </w:rPr>
              <w:t>本年新制作数量</w:t>
            </w:r>
          </w:p>
        </w:tc>
        <w:tc>
          <w:tcPr>
            <w:tcW w:w="2048" w:type="dxa"/>
            <w:shd w:val="clear" w:color="auto" w:fill="B8CCE4"/>
            <w:noWrap w:val="0"/>
            <w:vAlign w:val="center"/>
          </w:tcPr>
          <w:p>
            <w:pPr>
              <w:adjustRightInd w:val="0"/>
              <w:snapToGrid w:val="0"/>
              <w:jc w:val="center"/>
              <w:rPr>
                <w:rFonts w:ascii="黑体" w:eastAsia="黑体"/>
                <w:color w:val="000000"/>
                <w:sz w:val="24"/>
                <w:szCs w:val="24"/>
              </w:rPr>
            </w:pPr>
            <w:r>
              <w:rPr>
                <w:rFonts w:hint="eastAsia" w:ascii="黑体" w:hAnsi="宋体" w:eastAsia="黑体" w:cs="宋体"/>
                <w:color w:val="000000"/>
                <w:kern w:val="0"/>
                <w:sz w:val="24"/>
                <w:szCs w:val="24"/>
              </w:rPr>
              <w:t>本年新公开数量</w:t>
            </w:r>
          </w:p>
        </w:tc>
        <w:tc>
          <w:tcPr>
            <w:tcW w:w="1850" w:type="dxa"/>
            <w:shd w:val="clear" w:color="auto" w:fill="B8CCE4"/>
            <w:noWrap/>
            <w:vAlign w:val="center"/>
          </w:tcPr>
          <w:p>
            <w:pPr>
              <w:adjustRightInd w:val="0"/>
              <w:snapToGrid w:val="0"/>
              <w:jc w:val="center"/>
              <w:rPr>
                <w:rFonts w:ascii="黑体" w:eastAsia="黑体"/>
                <w:color w:val="000000"/>
                <w:spacing w:val="-8"/>
                <w:sz w:val="24"/>
                <w:szCs w:val="24"/>
              </w:rPr>
            </w:pPr>
            <w:r>
              <w:rPr>
                <w:rFonts w:hint="eastAsia" w:ascii="黑体" w:hAnsi="宋体" w:eastAsia="黑体" w:cs="宋体"/>
                <w:color w:val="000000"/>
                <w:spacing w:val="-8"/>
                <w:kern w:val="0"/>
                <w:sz w:val="24"/>
                <w:szCs w:val="24"/>
              </w:rPr>
              <w:t>对外公开总数量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786" w:type="dxa"/>
            <w:shd w:val="clear" w:color="auto" w:fill="FFFFFF"/>
            <w:noWrap/>
            <w:vAlign w:val="center"/>
          </w:tcPr>
          <w:p>
            <w:pPr>
              <w:adjustRightInd w:val="0"/>
              <w:snapToGrid w:val="0"/>
              <w:ind w:left="0" w:leftChars="0" w:right="0" w:rightChars="0" w:firstLine="0" w:firstLineChars="0"/>
              <w:jc w:val="center"/>
              <w:rPr>
                <w:color w:val="000000"/>
                <w:sz w:val="24"/>
                <w:szCs w:val="24"/>
              </w:rPr>
            </w:pPr>
            <w:r>
              <w:rPr>
                <w:rFonts w:hint="eastAsia" w:hAnsi="宋体" w:cs="宋体"/>
                <w:color w:val="000000"/>
                <w:kern w:val="0"/>
                <w:sz w:val="24"/>
                <w:szCs w:val="24"/>
              </w:rPr>
              <w:t>规章</w:t>
            </w:r>
          </w:p>
        </w:tc>
        <w:tc>
          <w:tcPr>
            <w:tcW w:w="2376" w:type="dxa"/>
            <w:shd w:val="clear" w:color="auto" w:fill="FFFFFF"/>
            <w:noWrap/>
            <w:vAlign w:val="center"/>
          </w:tcPr>
          <w:p>
            <w:pPr>
              <w:adjustRightInd w:val="0"/>
              <w:snapToGrid w:val="0"/>
              <w:ind w:left="0" w:leftChars="0" w:right="0" w:rightChars="0" w:firstLine="0" w:firstLine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2048" w:type="dxa"/>
            <w:shd w:val="clear" w:color="auto" w:fill="FFFFFF"/>
            <w:noWrap w:val="0"/>
            <w:vAlign w:val="center"/>
          </w:tcPr>
          <w:p>
            <w:pPr>
              <w:adjustRightInd w:val="0"/>
              <w:snapToGrid w:val="0"/>
              <w:ind w:left="0" w:leftChars="0" w:right="0" w:rightChars="0" w:firstLine="0" w:firstLine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w:t>
            </w:r>
          </w:p>
        </w:tc>
        <w:tc>
          <w:tcPr>
            <w:tcW w:w="1850" w:type="dxa"/>
            <w:shd w:val="clear" w:color="auto" w:fill="FFFFFF"/>
            <w:noWrap/>
            <w:vAlign w:val="center"/>
          </w:tcPr>
          <w:p>
            <w:pPr>
              <w:adjustRightInd w:val="0"/>
              <w:snapToGrid w:val="0"/>
              <w:ind w:left="0" w:leftChars="0" w:right="0" w:rightChars="0" w:firstLine="0" w:firstLine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kern w:val="0"/>
                <w:sz w:val="24"/>
                <w:szCs w:val="24"/>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786" w:type="dxa"/>
            <w:shd w:val="clear" w:color="auto" w:fill="FFFFFF" w:themeFill="background1"/>
            <w:noWrap/>
            <w:vAlign w:val="center"/>
          </w:tcPr>
          <w:p>
            <w:pPr>
              <w:adjustRightInd w:val="0"/>
              <w:snapToGrid w:val="0"/>
              <w:ind w:left="0" w:leftChars="0" w:right="0" w:rightChars="0" w:firstLine="0" w:firstLineChars="0"/>
              <w:jc w:val="center"/>
              <w:rPr>
                <w:color w:val="000000"/>
                <w:sz w:val="24"/>
                <w:szCs w:val="24"/>
              </w:rPr>
            </w:pPr>
            <w:r>
              <w:rPr>
                <w:rFonts w:hint="eastAsia" w:hAnsi="宋体" w:cs="宋体"/>
                <w:color w:val="000000"/>
                <w:kern w:val="0"/>
                <w:sz w:val="24"/>
                <w:szCs w:val="24"/>
              </w:rPr>
              <w:t>规范性文件</w:t>
            </w:r>
          </w:p>
        </w:tc>
        <w:tc>
          <w:tcPr>
            <w:tcW w:w="2376" w:type="dxa"/>
            <w:shd w:val="clear" w:color="auto" w:fill="FFFFFF" w:themeFill="background1"/>
            <w:noWrap/>
            <w:vAlign w:val="center"/>
          </w:tcPr>
          <w:p>
            <w:pPr>
              <w:adjustRightInd w:val="0"/>
              <w:snapToGrid w:val="0"/>
              <w:ind w:left="0" w:leftChars="0" w:right="0" w:rightChars="0" w:firstLine="0" w:firstLine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59</w:t>
            </w:r>
          </w:p>
        </w:tc>
        <w:tc>
          <w:tcPr>
            <w:tcW w:w="2048" w:type="dxa"/>
            <w:shd w:val="clear" w:color="auto" w:fill="FFFFFF" w:themeFill="background1"/>
            <w:noWrap w:val="0"/>
            <w:vAlign w:val="center"/>
          </w:tcPr>
          <w:p>
            <w:pPr>
              <w:adjustRightInd w:val="0"/>
              <w:snapToGrid w:val="0"/>
              <w:ind w:left="0" w:leftChars="0" w:right="0" w:rightChars="0" w:firstLine="0" w:firstLine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59</w:t>
            </w:r>
          </w:p>
        </w:tc>
        <w:tc>
          <w:tcPr>
            <w:tcW w:w="1850" w:type="dxa"/>
            <w:shd w:val="clear" w:color="auto" w:fill="FFFFFF" w:themeFill="background1"/>
            <w:noWrap/>
            <w:vAlign w:val="center"/>
          </w:tcPr>
          <w:p>
            <w:pPr>
              <w:adjustRightInd w:val="0"/>
              <w:snapToGrid w:val="0"/>
              <w:ind w:left="0" w:leftChars="0" w:right="0" w:rightChars="0" w:firstLine="0" w:firstLine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kern w:val="0"/>
                <w:sz w:val="24"/>
                <w:szCs w:val="24"/>
                <w:lang w:val="en-US" w:eastAsia="zh-CN"/>
              </w:rPr>
              <w:t>320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9060" w:type="dxa"/>
            <w:gridSpan w:val="4"/>
            <w:shd w:val="clear" w:color="auto" w:fill="FFFFFF"/>
            <w:noWrap/>
            <w:vAlign w:val="center"/>
          </w:tcPr>
          <w:p>
            <w:pPr>
              <w:adjustRightInd w:val="0"/>
              <w:snapToGrid w:val="0"/>
              <w:jc w:val="center"/>
              <w:rPr>
                <w:rFonts w:ascii="黑体" w:hAnsi="黑体" w:eastAsia="黑体"/>
                <w:color w:val="000000"/>
                <w:sz w:val="24"/>
                <w:szCs w:val="24"/>
              </w:rPr>
            </w:pPr>
            <w:r>
              <w:rPr>
                <w:rFonts w:hint="eastAsia" w:ascii="黑体" w:hAnsi="黑体" w:eastAsia="黑体" w:cs="宋体"/>
                <w:color w:val="000000"/>
                <w:kern w:val="0"/>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786" w:type="dxa"/>
            <w:shd w:val="clear" w:color="auto" w:fill="B8CCE4"/>
            <w:noWrap/>
            <w:vAlign w:val="center"/>
          </w:tcPr>
          <w:p>
            <w:pPr>
              <w:adjustRightInd w:val="0"/>
              <w:snapToGrid w:val="0"/>
              <w:jc w:val="center"/>
              <w:rPr>
                <w:rFonts w:ascii="黑体" w:hAnsi="黑体" w:eastAsia="黑体"/>
                <w:color w:val="000000"/>
                <w:sz w:val="24"/>
                <w:szCs w:val="24"/>
              </w:rPr>
            </w:pPr>
            <w:r>
              <w:rPr>
                <w:rFonts w:hint="eastAsia" w:ascii="黑体" w:hAnsi="黑体" w:eastAsia="黑体" w:cs="宋体"/>
                <w:color w:val="000000"/>
                <w:kern w:val="0"/>
                <w:sz w:val="24"/>
                <w:szCs w:val="24"/>
              </w:rPr>
              <w:t>信息内容</w:t>
            </w:r>
          </w:p>
        </w:tc>
        <w:tc>
          <w:tcPr>
            <w:tcW w:w="2376" w:type="dxa"/>
            <w:shd w:val="clear" w:color="auto" w:fill="B8CCE4"/>
            <w:noWrap/>
            <w:vAlign w:val="center"/>
          </w:tcPr>
          <w:p>
            <w:pPr>
              <w:adjustRightInd w:val="0"/>
              <w:snapToGrid w:val="0"/>
              <w:jc w:val="center"/>
              <w:rPr>
                <w:rFonts w:ascii="黑体" w:hAnsi="黑体" w:eastAsia="黑体"/>
                <w:color w:val="000000"/>
                <w:sz w:val="24"/>
                <w:szCs w:val="24"/>
              </w:rPr>
            </w:pPr>
            <w:r>
              <w:rPr>
                <w:rFonts w:hint="eastAsia" w:ascii="黑体" w:hAnsi="黑体" w:eastAsia="黑体" w:cs="宋体"/>
                <w:color w:val="000000"/>
                <w:kern w:val="0"/>
                <w:sz w:val="24"/>
                <w:szCs w:val="24"/>
              </w:rPr>
              <w:t>上一年项目数量</w:t>
            </w:r>
          </w:p>
        </w:tc>
        <w:tc>
          <w:tcPr>
            <w:tcW w:w="2048" w:type="dxa"/>
            <w:shd w:val="clear" w:color="auto" w:fill="B8CCE4"/>
            <w:noWrap w:val="0"/>
            <w:vAlign w:val="center"/>
          </w:tcPr>
          <w:p>
            <w:pPr>
              <w:adjustRightInd w:val="0"/>
              <w:snapToGrid w:val="0"/>
              <w:jc w:val="center"/>
              <w:rPr>
                <w:rFonts w:ascii="黑体" w:hAnsi="黑体" w:eastAsia="黑体"/>
                <w:color w:val="000000"/>
                <w:sz w:val="24"/>
                <w:szCs w:val="24"/>
              </w:rPr>
            </w:pPr>
            <w:r>
              <w:rPr>
                <w:rFonts w:hint="eastAsia" w:ascii="黑体" w:hAnsi="黑体" w:eastAsia="黑体" w:cs="宋体"/>
                <w:color w:val="000000"/>
                <w:kern w:val="0"/>
                <w:sz w:val="24"/>
                <w:szCs w:val="24"/>
              </w:rPr>
              <w:t>本年增</w:t>
            </w:r>
            <w:r>
              <w:rPr>
                <w:rFonts w:ascii="黑体" w:hAnsi="黑体" w:eastAsia="黑体" w:cs="宋体"/>
                <w:color w:val="000000"/>
                <w:kern w:val="0"/>
                <w:sz w:val="24"/>
                <w:szCs w:val="24"/>
              </w:rPr>
              <w:t>/</w:t>
            </w:r>
            <w:r>
              <w:rPr>
                <w:rFonts w:hint="eastAsia" w:ascii="黑体" w:hAnsi="黑体" w:eastAsia="黑体" w:cs="宋体"/>
                <w:color w:val="000000"/>
                <w:kern w:val="0"/>
                <w:sz w:val="24"/>
                <w:szCs w:val="24"/>
              </w:rPr>
              <w:t>减</w:t>
            </w:r>
          </w:p>
        </w:tc>
        <w:tc>
          <w:tcPr>
            <w:tcW w:w="1850" w:type="dxa"/>
            <w:shd w:val="clear" w:color="auto" w:fill="B8CCE4"/>
            <w:noWrap/>
            <w:vAlign w:val="center"/>
          </w:tcPr>
          <w:p>
            <w:pPr>
              <w:adjustRightInd w:val="0"/>
              <w:snapToGrid w:val="0"/>
              <w:jc w:val="center"/>
              <w:rPr>
                <w:rFonts w:ascii="黑体" w:hAnsi="黑体" w:eastAsia="黑体"/>
                <w:color w:val="000000"/>
                <w:sz w:val="24"/>
                <w:szCs w:val="24"/>
              </w:rPr>
            </w:pPr>
            <w:r>
              <w:rPr>
                <w:rFonts w:hint="eastAsia" w:ascii="黑体" w:hAnsi="黑体" w:eastAsia="黑体" w:cs="宋体"/>
                <w:color w:val="000000"/>
                <w:kern w:val="0"/>
                <w:sz w:val="24"/>
                <w:szCs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786" w:type="dxa"/>
            <w:shd w:val="clear" w:color="auto" w:fill="FFFFFF"/>
            <w:noWrap/>
            <w:vAlign w:val="center"/>
          </w:tcPr>
          <w:p>
            <w:pPr>
              <w:adjustRightInd w:val="0"/>
              <w:snapToGrid w:val="0"/>
              <w:ind w:left="0" w:leftChars="0" w:right="0" w:rightChars="0" w:firstLine="0" w:firstLineChars="0"/>
              <w:jc w:val="center"/>
              <w:rPr>
                <w:color w:val="000000"/>
                <w:sz w:val="24"/>
                <w:szCs w:val="24"/>
              </w:rPr>
            </w:pPr>
            <w:r>
              <w:rPr>
                <w:rFonts w:hint="eastAsia" w:hAnsi="宋体" w:cs="宋体"/>
                <w:color w:val="000000"/>
                <w:kern w:val="0"/>
                <w:sz w:val="24"/>
                <w:szCs w:val="24"/>
              </w:rPr>
              <w:t>行政许可</w:t>
            </w:r>
          </w:p>
        </w:tc>
        <w:tc>
          <w:tcPr>
            <w:tcW w:w="2376" w:type="dxa"/>
            <w:shd w:val="clear" w:color="auto" w:fill="FFFFFF"/>
            <w:noWrap/>
            <w:vAlign w:val="center"/>
          </w:tcPr>
          <w:p>
            <w:pPr>
              <w:adjustRightInd w:val="0"/>
              <w:snapToGrid w:val="0"/>
              <w:ind w:left="0" w:leftChars="0" w:right="0" w:rightChars="0" w:firstLine="0" w:firstLine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　465</w:t>
            </w:r>
          </w:p>
        </w:tc>
        <w:tc>
          <w:tcPr>
            <w:tcW w:w="2048" w:type="dxa"/>
            <w:shd w:val="clear" w:color="auto" w:fill="FFFFFF"/>
            <w:noWrap/>
            <w:vAlign w:val="center"/>
          </w:tcPr>
          <w:p>
            <w:pPr>
              <w:adjustRightInd w:val="0"/>
              <w:snapToGrid w:val="0"/>
              <w:ind w:left="0" w:leftChars="0" w:right="0" w:rightChars="0" w:firstLine="0" w:firstLine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-34</w:t>
            </w:r>
          </w:p>
        </w:tc>
        <w:tc>
          <w:tcPr>
            <w:tcW w:w="1850" w:type="dxa"/>
            <w:shd w:val="clear" w:color="auto" w:fill="FFFFFF"/>
            <w:noWrap/>
            <w:vAlign w:val="center"/>
          </w:tcPr>
          <w:p>
            <w:pPr>
              <w:adjustRightInd w:val="0"/>
              <w:snapToGrid w:val="0"/>
              <w:ind w:left="0" w:leftChars="0" w:right="0" w:rightChars="0" w:firstLine="0" w:firstLine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1846294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786" w:type="dxa"/>
            <w:shd w:val="clear" w:color="auto" w:fill="FFFFFF" w:themeFill="background1"/>
            <w:noWrap/>
            <w:vAlign w:val="center"/>
          </w:tcPr>
          <w:p>
            <w:pPr>
              <w:adjustRightInd w:val="0"/>
              <w:snapToGrid w:val="0"/>
              <w:jc w:val="left"/>
              <w:rPr>
                <w:color w:val="000000"/>
                <w:sz w:val="24"/>
                <w:szCs w:val="24"/>
              </w:rPr>
            </w:pPr>
            <w:r>
              <w:rPr>
                <w:rFonts w:hint="eastAsia" w:hAnsi="宋体" w:cs="宋体"/>
                <w:color w:val="000000"/>
                <w:kern w:val="0"/>
                <w:sz w:val="24"/>
                <w:szCs w:val="24"/>
              </w:rPr>
              <w:t>其他对外管理服务事项</w:t>
            </w:r>
          </w:p>
        </w:tc>
        <w:tc>
          <w:tcPr>
            <w:tcW w:w="2376" w:type="dxa"/>
            <w:shd w:val="clear" w:color="auto" w:fill="FFFFFF" w:themeFill="background1"/>
            <w:noWrap/>
            <w:vAlign w:val="center"/>
          </w:tcPr>
          <w:p>
            <w:pPr>
              <w:adjustRightInd w:val="0"/>
              <w:snapToGrid w:val="0"/>
              <w:ind w:left="0" w:leftChars="0" w:right="0" w:rightChars="0" w:firstLine="0" w:firstLine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　1555</w:t>
            </w:r>
          </w:p>
        </w:tc>
        <w:tc>
          <w:tcPr>
            <w:tcW w:w="2048" w:type="dxa"/>
            <w:shd w:val="clear" w:color="auto" w:fill="FFFFFF" w:themeFill="background1"/>
            <w:noWrap/>
            <w:vAlign w:val="center"/>
          </w:tcPr>
          <w:p>
            <w:pPr>
              <w:adjustRightInd w:val="0"/>
              <w:snapToGrid w:val="0"/>
              <w:ind w:left="0" w:leftChars="0" w:right="0" w:rightChars="0" w:firstLine="0" w:firstLine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-150　</w:t>
            </w:r>
          </w:p>
        </w:tc>
        <w:tc>
          <w:tcPr>
            <w:tcW w:w="1850" w:type="dxa"/>
            <w:shd w:val="clear" w:color="auto" w:fill="FFFFFF" w:themeFill="background1"/>
            <w:noWrap/>
            <w:vAlign w:val="center"/>
          </w:tcPr>
          <w:p>
            <w:pPr>
              <w:adjustRightInd w:val="0"/>
              <w:snapToGrid w:val="0"/>
              <w:ind w:left="0" w:leftChars="0" w:right="0" w:rightChars="0" w:firstLine="0" w:firstLine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3736965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9060" w:type="dxa"/>
            <w:gridSpan w:val="4"/>
            <w:shd w:val="clear" w:color="auto" w:fill="FFFFFF"/>
            <w:noWrap/>
            <w:vAlign w:val="center"/>
          </w:tcPr>
          <w:p>
            <w:pPr>
              <w:adjustRightInd w:val="0"/>
              <w:snapToGrid w:val="0"/>
              <w:jc w:val="center"/>
              <w:rPr>
                <w:rFonts w:ascii="黑体" w:hAnsi="黑体" w:eastAsia="黑体"/>
                <w:color w:val="000000"/>
                <w:sz w:val="24"/>
                <w:szCs w:val="24"/>
              </w:rPr>
            </w:pPr>
            <w:r>
              <w:rPr>
                <w:rFonts w:hint="eastAsia" w:ascii="黑体" w:hAnsi="黑体" w:eastAsia="黑体" w:cs="宋体"/>
                <w:color w:val="000000"/>
                <w:kern w:val="0"/>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786" w:type="dxa"/>
            <w:shd w:val="clear" w:color="auto" w:fill="B8CCE4"/>
            <w:noWrap/>
            <w:vAlign w:val="center"/>
          </w:tcPr>
          <w:p>
            <w:pPr>
              <w:adjustRightInd w:val="0"/>
              <w:snapToGrid w:val="0"/>
              <w:jc w:val="center"/>
              <w:rPr>
                <w:rFonts w:ascii="黑体" w:hAnsi="黑体" w:eastAsia="黑体"/>
                <w:color w:val="000000"/>
                <w:sz w:val="24"/>
                <w:szCs w:val="24"/>
              </w:rPr>
            </w:pPr>
            <w:r>
              <w:rPr>
                <w:rFonts w:hint="eastAsia" w:ascii="黑体" w:hAnsi="黑体" w:eastAsia="黑体" w:cs="宋体"/>
                <w:color w:val="000000"/>
                <w:kern w:val="0"/>
                <w:sz w:val="24"/>
                <w:szCs w:val="24"/>
              </w:rPr>
              <w:t>信息内容</w:t>
            </w:r>
          </w:p>
        </w:tc>
        <w:tc>
          <w:tcPr>
            <w:tcW w:w="2376" w:type="dxa"/>
            <w:shd w:val="clear" w:color="auto" w:fill="B8CCE4"/>
            <w:noWrap/>
            <w:vAlign w:val="center"/>
          </w:tcPr>
          <w:p>
            <w:pPr>
              <w:adjustRightInd w:val="0"/>
              <w:snapToGrid w:val="0"/>
              <w:jc w:val="center"/>
              <w:rPr>
                <w:rFonts w:ascii="黑体" w:hAnsi="黑体" w:eastAsia="黑体"/>
                <w:color w:val="000000"/>
                <w:sz w:val="24"/>
                <w:szCs w:val="24"/>
              </w:rPr>
            </w:pPr>
            <w:r>
              <w:rPr>
                <w:rFonts w:hint="eastAsia" w:ascii="黑体" w:hAnsi="黑体" w:eastAsia="黑体" w:cs="宋体"/>
                <w:color w:val="000000"/>
                <w:kern w:val="0"/>
                <w:sz w:val="24"/>
                <w:szCs w:val="24"/>
              </w:rPr>
              <w:t>上一年项目数量</w:t>
            </w:r>
          </w:p>
        </w:tc>
        <w:tc>
          <w:tcPr>
            <w:tcW w:w="2048" w:type="dxa"/>
            <w:shd w:val="clear" w:color="auto" w:fill="B8CCE4"/>
            <w:noWrap w:val="0"/>
            <w:vAlign w:val="center"/>
          </w:tcPr>
          <w:p>
            <w:pPr>
              <w:adjustRightInd w:val="0"/>
              <w:snapToGrid w:val="0"/>
              <w:jc w:val="center"/>
              <w:rPr>
                <w:rFonts w:ascii="黑体" w:hAnsi="黑体" w:eastAsia="黑体"/>
                <w:color w:val="000000"/>
                <w:sz w:val="24"/>
                <w:szCs w:val="24"/>
              </w:rPr>
            </w:pPr>
            <w:r>
              <w:rPr>
                <w:rFonts w:hint="eastAsia" w:ascii="黑体" w:hAnsi="黑体" w:eastAsia="黑体" w:cs="宋体"/>
                <w:color w:val="000000"/>
                <w:kern w:val="0"/>
                <w:sz w:val="24"/>
                <w:szCs w:val="24"/>
              </w:rPr>
              <w:t>本年增</w:t>
            </w:r>
            <w:r>
              <w:rPr>
                <w:rFonts w:ascii="黑体" w:hAnsi="黑体" w:eastAsia="黑体" w:cs="宋体"/>
                <w:color w:val="000000"/>
                <w:kern w:val="0"/>
                <w:sz w:val="24"/>
                <w:szCs w:val="24"/>
              </w:rPr>
              <w:t>/</w:t>
            </w:r>
            <w:r>
              <w:rPr>
                <w:rFonts w:hint="eastAsia" w:ascii="黑体" w:hAnsi="黑体" w:eastAsia="黑体" w:cs="宋体"/>
                <w:color w:val="000000"/>
                <w:kern w:val="0"/>
                <w:sz w:val="24"/>
                <w:szCs w:val="24"/>
              </w:rPr>
              <w:t>减</w:t>
            </w:r>
          </w:p>
        </w:tc>
        <w:tc>
          <w:tcPr>
            <w:tcW w:w="1850" w:type="dxa"/>
            <w:shd w:val="clear" w:color="auto" w:fill="B8CCE4"/>
            <w:noWrap/>
            <w:vAlign w:val="center"/>
          </w:tcPr>
          <w:p>
            <w:pPr>
              <w:adjustRightInd w:val="0"/>
              <w:snapToGrid w:val="0"/>
              <w:jc w:val="center"/>
              <w:rPr>
                <w:rFonts w:ascii="黑体" w:hAnsi="黑体" w:eastAsia="黑体"/>
                <w:color w:val="000000"/>
                <w:sz w:val="24"/>
                <w:szCs w:val="24"/>
              </w:rPr>
            </w:pPr>
            <w:r>
              <w:rPr>
                <w:rFonts w:hint="eastAsia" w:ascii="黑体" w:hAnsi="黑体" w:eastAsia="黑体" w:cs="宋体"/>
                <w:color w:val="000000"/>
                <w:kern w:val="0"/>
                <w:sz w:val="24"/>
                <w:szCs w:val="24"/>
              </w:rPr>
              <w:t>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786" w:type="dxa"/>
            <w:shd w:val="clear" w:color="auto" w:fill="FFFFFF"/>
            <w:noWrap/>
            <w:vAlign w:val="center"/>
          </w:tcPr>
          <w:p>
            <w:pPr>
              <w:adjustRightInd w:val="0"/>
              <w:snapToGrid w:val="0"/>
              <w:ind w:left="0" w:leftChars="0" w:right="0" w:rightChars="0" w:firstLine="0" w:firstLineChars="0"/>
              <w:jc w:val="center"/>
              <w:rPr>
                <w:color w:val="000000"/>
                <w:sz w:val="24"/>
                <w:szCs w:val="24"/>
              </w:rPr>
            </w:pPr>
            <w:r>
              <w:rPr>
                <w:rFonts w:hint="eastAsia" w:hAnsi="宋体" w:cs="宋体"/>
                <w:color w:val="000000"/>
                <w:kern w:val="0"/>
                <w:sz w:val="24"/>
                <w:szCs w:val="24"/>
              </w:rPr>
              <w:t>行政处罚</w:t>
            </w:r>
          </w:p>
        </w:tc>
        <w:tc>
          <w:tcPr>
            <w:tcW w:w="2376" w:type="dxa"/>
            <w:shd w:val="clear" w:color="auto" w:fill="FFFFFF"/>
            <w:noWrap/>
            <w:vAlign w:val="center"/>
          </w:tcPr>
          <w:p>
            <w:pPr>
              <w:adjustRightInd w:val="0"/>
              <w:snapToGrid w:val="0"/>
              <w:ind w:left="0" w:leftChars="0" w:right="0" w:rightChars="0" w:firstLine="0" w:firstLine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　4313</w:t>
            </w:r>
          </w:p>
        </w:tc>
        <w:tc>
          <w:tcPr>
            <w:tcW w:w="2048" w:type="dxa"/>
            <w:shd w:val="clear" w:color="auto" w:fill="FFFFFF"/>
            <w:noWrap/>
            <w:vAlign w:val="center"/>
          </w:tcPr>
          <w:p>
            <w:pPr>
              <w:adjustRightInd w:val="0"/>
              <w:snapToGrid w:val="0"/>
              <w:ind w:left="0" w:leftChars="0" w:right="0" w:rightChars="0" w:firstLine="0" w:firstLine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-1153　</w:t>
            </w:r>
          </w:p>
        </w:tc>
        <w:tc>
          <w:tcPr>
            <w:tcW w:w="1850" w:type="dxa"/>
            <w:shd w:val="clear" w:color="auto" w:fill="FFFFFF"/>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sz w:val="24"/>
                <w:szCs w:val="24"/>
                <w:lang w:val="en-US" w:eastAsia="zh-CN"/>
              </w:rPr>
            </w:pPr>
            <w:r>
              <w:rPr>
                <w:rFonts w:hint="eastAsia" w:ascii="宋体" w:hAnsi="宋体" w:eastAsia="宋体" w:cs="宋体"/>
                <w:i w:val="0"/>
                <w:color w:val="000000"/>
                <w:kern w:val="0"/>
                <w:sz w:val="24"/>
                <w:szCs w:val="24"/>
                <w:u w:val="none"/>
                <w:lang w:val="en-US" w:eastAsia="zh-CN" w:bidi="ar"/>
              </w:rPr>
              <w:t>307232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786" w:type="dxa"/>
            <w:shd w:val="clear" w:color="auto" w:fill="FFFFFF" w:themeFill="background1"/>
            <w:noWrap/>
            <w:vAlign w:val="center"/>
          </w:tcPr>
          <w:p>
            <w:pPr>
              <w:adjustRightInd w:val="0"/>
              <w:snapToGrid w:val="0"/>
              <w:ind w:left="0" w:leftChars="0" w:right="0" w:rightChars="0" w:firstLine="0" w:firstLineChars="0"/>
              <w:jc w:val="center"/>
              <w:rPr>
                <w:color w:val="000000"/>
                <w:sz w:val="24"/>
                <w:szCs w:val="24"/>
              </w:rPr>
            </w:pPr>
            <w:r>
              <w:rPr>
                <w:rFonts w:hint="eastAsia" w:hAnsi="宋体" w:cs="宋体"/>
                <w:color w:val="000000"/>
                <w:kern w:val="0"/>
                <w:sz w:val="24"/>
                <w:szCs w:val="24"/>
              </w:rPr>
              <w:t>行政强制</w:t>
            </w:r>
          </w:p>
        </w:tc>
        <w:tc>
          <w:tcPr>
            <w:tcW w:w="2376" w:type="dxa"/>
            <w:shd w:val="clear" w:color="auto" w:fill="FFFFFF" w:themeFill="background1"/>
            <w:noWrap/>
            <w:vAlign w:val="center"/>
          </w:tcPr>
          <w:p>
            <w:pPr>
              <w:adjustRightInd w:val="0"/>
              <w:snapToGrid w:val="0"/>
              <w:ind w:left="0" w:leftChars="0" w:right="0" w:rightChars="0" w:firstLine="0" w:firstLine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　141</w:t>
            </w:r>
          </w:p>
        </w:tc>
        <w:tc>
          <w:tcPr>
            <w:tcW w:w="2048" w:type="dxa"/>
            <w:shd w:val="clear" w:color="auto" w:fill="FFFFFF" w:themeFill="background1"/>
            <w:noWrap/>
            <w:vAlign w:val="center"/>
          </w:tcPr>
          <w:p>
            <w:pPr>
              <w:adjustRightInd w:val="0"/>
              <w:snapToGrid w:val="0"/>
              <w:ind w:left="0" w:leftChars="0" w:right="0" w:rightChars="0" w:firstLine="0" w:firstLine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+18</w:t>
            </w:r>
          </w:p>
        </w:tc>
        <w:tc>
          <w:tcPr>
            <w:tcW w:w="1850" w:type="dxa"/>
            <w:shd w:val="clear" w:color="auto" w:fill="FFFFFF" w:themeFill="background1"/>
            <w:noWrap/>
            <w:vAlign w:val="center"/>
          </w:tcPr>
          <w:p>
            <w:pPr>
              <w:keepNext w:val="0"/>
              <w:keepLines w:val="0"/>
              <w:widowControl/>
              <w:suppressLineNumbers w:val="0"/>
              <w:jc w:val="center"/>
              <w:textAlignment w:val="center"/>
              <w:rPr>
                <w:rFonts w:hint="eastAsia" w:ascii="仿宋_GB2312" w:hAnsi="仿宋_GB2312" w:eastAsia="仿宋_GB2312" w:cs="仿宋_GB2312"/>
                <w:color w:val="000000"/>
                <w:sz w:val="24"/>
                <w:szCs w:val="24"/>
                <w:lang w:val="en-US" w:eastAsia="zh-CN"/>
              </w:rPr>
            </w:pPr>
            <w:r>
              <w:rPr>
                <w:rFonts w:hint="eastAsia" w:ascii="宋体" w:hAnsi="宋体" w:eastAsia="宋体" w:cs="宋体"/>
                <w:i w:val="0"/>
                <w:color w:val="000000"/>
                <w:kern w:val="0"/>
                <w:sz w:val="24"/>
                <w:szCs w:val="24"/>
                <w:u w:val="none"/>
                <w:lang w:val="en-US" w:eastAsia="zh-CN" w:bidi="ar"/>
              </w:rPr>
              <w:t>16015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9060" w:type="dxa"/>
            <w:gridSpan w:val="4"/>
            <w:shd w:val="clear" w:color="auto" w:fill="FFFFFF"/>
            <w:noWrap/>
            <w:vAlign w:val="center"/>
          </w:tcPr>
          <w:p>
            <w:pPr>
              <w:adjustRightInd w:val="0"/>
              <w:snapToGrid w:val="0"/>
              <w:jc w:val="center"/>
              <w:rPr>
                <w:rFonts w:ascii="黑体" w:hAnsi="黑体" w:eastAsia="黑体"/>
                <w:color w:val="000000"/>
                <w:sz w:val="24"/>
                <w:szCs w:val="24"/>
              </w:rPr>
            </w:pPr>
            <w:r>
              <w:rPr>
                <w:rFonts w:hint="eastAsia" w:ascii="黑体" w:hAnsi="黑体" w:eastAsia="黑体" w:cs="宋体"/>
                <w:color w:val="000000"/>
                <w:kern w:val="0"/>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786" w:type="dxa"/>
            <w:shd w:val="clear" w:color="auto" w:fill="B8CCE4"/>
            <w:noWrap/>
            <w:vAlign w:val="center"/>
          </w:tcPr>
          <w:p>
            <w:pPr>
              <w:adjustRightInd w:val="0"/>
              <w:snapToGrid w:val="0"/>
              <w:jc w:val="center"/>
              <w:rPr>
                <w:rFonts w:ascii="黑体" w:hAnsi="黑体" w:eastAsia="黑体"/>
                <w:color w:val="000000"/>
                <w:sz w:val="24"/>
                <w:szCs w:val="24"/>
              </w:rPr>
            </w:pPr>
            <w:r>
              <w:rPr>
                <w:rFonts w:hint="eastAsia" w:ascii="黑体" w:hAnsi="黑体" w:eastAsia="黑体" w:cs="宋体"/>
                <w:color w:val="000000"/>
                <w:kern w:val="0"/>
                <w:sz w:val="24"/>
                <w:szCs w:val="24"/>
              </w:rPr>
              <w:t>信息内容</w:t>
            </w:r>
          </w:p>
        </w:tc>
        <w:tc>
          <w:tcPr>
            <w:tcW w:w="2376" w:type="dxa"/>
            <w:shd w:val="clear" w:color="auto" w:fill="B8CCE4"/>
            <w:noWrap/>
            <w:vAlign w:val="center"/>
          </w:tcPr>
          <w:p>
            <w:pPr>
              <w:adjustRightInd w:val="0"/>
              <w:snapToGrid w:val="0"/>
              <w:jc w:val="left"/>
              <w:rPr>
                <w:rFonts w:ascii="黑体" w:hAnsi="黑体" w:eastAsia="黑体"/>
                <w:color w:val="000000"/>
                <w:sz w:val="24"/>
                <w:szCs w:val="24"/>
              </w:rPr>
            </w:pPr>
            <w:r>
              <w:rPr>
                <w:rFonts w:hint="eastAsia" w:ascii="黑体" w:hAnsi="黑体" w:eastAsia="黑体" w:cs="宋体"/>
                <w:color w:val="000000"/>
                <w:kern w:val="0"/>
                <w:sz w:val="24"/>
                <w:szCs w:val="24"/>
              </w:rPr>
              <w:t>上一年项目数量</w:t>
            </w:r>
          </w:p>
        </w:tc>
        <w:tc>
          <w:tcPr>
            <w:tcW w:w="3898" w:type="dxa"/>
            <w:gridSpan w:val="2"/>
            <w:shd w:val="clear" w:color="auto" w:fill="B8CCE4"/>
            <w:noWrap/>
            <w:vAlign w:val="center"/>
          </w:tcPr>
          <w:p>
            <w:pPr>
              <w:adjustRightInd w:val="0"/>
              <w:snapToGrid w:val="0"/>
              <w:jc w:val="center"/>
              <w:rPr>
                <w:rFonts w:ascii="黑体" w:hAnsi="黑体" w:eastAsia="黑体"/>
                <w:color w:val="000000"/>
                <w:sz w:val="24"/>
                <w:szCs w:val="24"/>
              </w:rPr>
            </w:pPr>
            <w:r>
              <w:rPr>
                <w:rFonts w:hint="eastAsia" w:ascii="黑体" w:hAnsi="黑体" w:eastAsia="黑体" w:cs="宋体"/>
                <w:color w:val="000000"/>
                <w:kern w:val="0"/>
                <w:sz w:val="24"/>
                <w:szCs w:val="24"/>
              </w:rPr>
              <w:t>本年增</w:t>
            </w:r>
            <w:r>
              <w:rPr>
                <w:rFonts w:ascii="黑体" w:hAnsi="黑体" w:eastAsia="黑体" w:cs="宋体"/>
                <w:color w:val="000000"/>
                <w:kern w:val="0"/>
                <w:sz w:val="24"/>
                <w:szCs w:val="24"/>
              </w:rPr>
              <w:t>/</w:t>
            </w:r>
            <w:r>
              <w:rPr>
                <w:rFonts w:hint="eastAsia" w:ascii="黑体" w:hAnsi="黑体" w:eastAsia="黑体" w:cs="宋体"/>
                <w:color w:val="000000"/>
                <w:kern w:val="0"/>
                <w:sz w:val="24"/>
                <w:szCs w:val="24"/>
              </w:rPr>
              <w:t>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786" w:type="dxa"/>
            <w:shd w:val="clear" w:color="auto" w:fill="FFFFFF"/>
            <w:noWrap/>
            <w:vAlign w:val="center"/>
          </w:tcPr>
          <w:p>
            <w:pPr>
              <w:adjustRightInd w:val="0"/>
              <w:snapToGrid w:val="0"/>
              <w:ind w:left="0" w:leftChars="0" w:right="0" w:rightChars="0" w:firstLine="0" w:firstLineChars="0"/>
              <w:jc w:val="center"/>
              <w:rPr>
                <w:color w:val="000000"/>
                <w:sz w:val="24"/>
                <w:szCs w:val="24"/>
              </w:rPr>
            </w:pPr>
            <w:r>
              <w:rPr>
                <w:rFonts w:hint="eastAsia" w:hAnsi="宋体" w:cs="宋体"/>
                <w:color w:val="000000"/>
                <w:kern w:val="0"/>
                <w:sz w:val="24"/>
                <w:szCs w:val="24"/>
              </w:rPr>
              <w:t>行政事业性收费</w:t>
            </w:r>
          </w:p>
        </w:tc>
        <w:tc>
          <w:tcPr>
            <w:tcW w:w="2376" w:type="dxa"/>
            <w:shd w:val="clear" w:color="auto" w:fill="FFFFFF"/>
            <w:noWrap/>
            <w:vAlign w:val="center"/>
          </w:tcPr>
          <w:p>
            <w:pPr>
              <w:adjustRightInd w:val="0"/>
              <w:snapToGrid w:val="0"/>
              <w:ind w:left="0" w:leftChars="0" w:right="0" w:rightChars="0" w:firstLine="0" w:firstLineChars="0"/>
              <w:jc w:val="center"/>
              <w:rPr>
                <w:rFonts w:hint="eastAsia" w:eastAsiaTheme="minorEastAsia"/>
                <w:color w:val="000000"/>
                <w:sz w:val="24"/>
                <w:szCs w:val="24"/>
                <w:lang w:val="en-US" w:eastAsia="zh-CN"/>
              </w:rPr>
            </w:pPr>
            <w:r>
              <w:rPr>
                <w:rFonts w:hint="eastAsia" w:ascii="仿宋_GB2312" w:hAnsi="仿宋_GB2312" w:eastAsia="仿宋_GB2312" w:cs="仿宋_GB2312"/>
                <w:color w:val="000000"/>
                <w:sz w:val="24"/>
                <w:szCs w:val="24"/>
                <w:lang w:val="en-US" w:eastAsia="zh-CN"/>
              </w:rPr>
              <w:t>51</w:t>
            </w:r>
          </w:p>
        </w:tc>
        <w:tc>
          <w:tcPr>
            <w:tcW w:w="3898" w:type="dxa"/>
            <w:gridSpan w:val="2"/>
            <w:shd w:val="clear" w:color="auto" w:fill="FFFFFF"/>
            <w:noWrap/>
            <w:vAlign w:val="center"/>
          </w:tcPr>
          <w:p>
            <w:pPr>
              <w:adjustRightInd w:val="0"/>
              <w:snapToGrid w:val="0"/>
              <w:ind w:left="0" w:leftChars="0" w:right="0" w:rightChars="0" w:firstLine="0" w:firstLineChars="0"/>
              <w:jc w:val="center"/>
              <w:rPr>
                <w:rFonts w:hint="eastAsia" w:eastAsiaTheme="minorEastAsia"/>
                <w:color w:val="000000"/>
                <w:sz w:val="24"/>
                <w:szCs w:val="24"/>
                <w:lang w:val="en-US" w:eastAsia="zh-CN"/>
              </w:rPr>
            </w:pPr>
            <w:r>
              <w:rPr>
                <w:rFonts w:hint="eastAsia" w:ascii="仿宋_GB2312" w:hAnsi="仿宋_GB2312" w:eastAsia="仿宋_GB2312" w:cs="仿宋_GB2312"/>
                <w:color w:val="000000"/>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9060" w:type="dxa"/>
            <w:gridSpan w:val="4"/>
            <w:shd w:val="clear" w:color="auto" w:fill="FFFFFF" w:themeFill="background1"/>
            <w:noWrap/>
            <w:vAlign w:val="center"/>
          </w:tcPr>
          <w:p>
            <w:pPr>
              <w:adjustRightInd w:val="0"/>
              <w:snapToGrid w:val="0"/>
              <w:jc w:val="center"/>
              <w:rPr>
                <w:rFonts w:ascii="黑体" w:eastAsia="黑体"/>
                <w:color w:val="000000"/>
                <w:sz w:val="24"/>
                <w:szCs w:val="24"/>
              </w:rPr>
            </w:pPr>
            <w:r>
              <w:rPr>
                <w:rFonts w:hint="eastAsia" w:ascii="黑体" w:hAnsi="宋体" w:eastAsia="黑体" w:cs="宋体"/>
                <w:color w:val="000000"/>
                <w:kern w:val="0"/>
                <w:sz w:val="24"/>
                <w:szCs w:val="24"/>
              </w:rPr>
              <w:t>第二十条第（九）项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786" w:type="dxa"/>
            <w:shd w:val="clear" w:color="auto" w:fill="BDD6EE" w:themeFill="accent1" w:themeFillTint="66"/>
            <w:noWrap/>
            <w:vAlign w:val="center"/>
          </w:tcPr>
          <w:p>
            <w:pPr>
              <w:adjustRightInd w:val="0"/>
              <w:snapToGrid w:val="0"/>
              <w:jc w:val="center"/>
              <w:rPr>
                <w:rFonts w:ascii="黑体" w:eastAsia="黑体"/>
                <w:color w:val="000000"/>
                <w:sz w:val="24"/>
                <w:szCs w:val="24"/>
              </w:rPr>
            </w:pPr>
            <w:r>
              <w:rPr>
                <w:rFonts w:hint="eastAsia" w:ascii="黑体" w:hAnsi="宋体" w:eastAsia="黑体" w:cs="宋体"/>
                <w:color w:val="000000"/>
                <w:kern w:val="0"/>
                <w:sz w:val="24"/>
                <w:szCs w:val="24"/>
              </w:rPr>
              <w:t>信息内容</w:t>
            </w:r>
          </w:p>
        </w:tc>
        <w:tc>
          <w:tcPr>
            <w:tcW w:w="2376" w:type="dxa"/>
            <w:shd w:val="clear" w:color="auto" w:fill="BDD6EE" w:themeFill="accent1" w:themeFillTint="66"/>
            <w:noWrap/>
            <w:vAlign w:val="center"/>
          </w:tcPr>
          <w:p>
            <w:pPr>
              <w:adjustRightInd w:val="0"/>
              <w:snapToGrid w:val="0"/>
              <w:jc w:val="center"/>
              <w:rPr>
                <w:rFonts w:ascii="黑体" w:eastAsia="黑体"/>
                <w:color w:val="000000"/>
                <w:sz w:val="24"/>
                <w:szCs w:val="24"/>
              </w:rPr>
            </w:pPr>
            <w:r>
              <w:rPr>
                <w:rFonts w:hint="eastAsia" w:ascii="黑体" w:hAnsi="宋体" w:eastAsia="黑体" w:cs="宋体"/>
                <w:color w:val="000000"/>
                <w:kern w:val="0"/>
                <w:sz w:val="24"/>
                <w:szCs w:val="24"/>
              </w:rPr>
              <w:t>采购项目数量</w:t>
            </w:r>
          </w:p>
        </w:tc>
        <w:tc>
          <w:tcPr>
            <w:tcW w:w="3898" w:type="dxa"/>
            <w:gridSpan w:val="2"/>
            <w:shd w:val="clear" w:color="auto" w:fill="BDD6EE" w:themeFill="accent1" w:themeFillTint="66"/>
            <w:noWrap/>
            <w:vAlign w:val="center"/>
          </w:tcPr>
          <w:p>
            <w:pPr>
              <w:adjustRightInd w:val="0"/>
              <w:snapToGrid w:val="0"/>
              <w:jc w:val="center"/>
              <w:rPr>
                <w:rFonts w:ascii="黑体" w:eastAsia="黑体"/>
                <w:color w:val="000000"/>
                <w:sz w:val="24"/>
                <w:szCs w:val="24"/>
              </w:rPr>
            </w:pPr>
            <w:r>
              <w:rPr>
                <w:rFonts w:hint="eastAsia" w:ascii="黑体" w:hAnsi="宋体" w:eastAsia="黑体" w:cs="宋体"/>
                <w:color w:val="000000"/>
                <w:kern w:val="0"/>
                <w:sz w:val="24"/>
                <w:szCs w:val="24"/>
              </w:rPr>
              <w:t>采购总金额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jc w:val="center"/>
        </w:trPr>
        <w:tc>
          <w:tcPr>
            <w:tcW w:w="2786" w:type="dxa"/>
            <w:shd w:val="clear" w:color="auto" w:fill="FFFFFF" w:themeFill="background1"/>
            <w:noWrap/>
            <w:vAlign w:val="center"/>
          </w:tcPr>
          <w:p>
            <w:pPr>
              <w:adjustRightInd w:val="0"/>
              <w:snapToGrid w:val="0"/>
              <w:ind w:left="0" w:leftChars="0" w:right="0" w:rightChars="0" w:firstLine="0" w:firstLineChars="0"/>
              <w:jc w:val="center"/>
              <w:rPr>
                <w:color w:val="000000"/>
                <w:sz w:val="24"/>
                <w:szCs w:val="24"/>
              </w:rPr>
            </w:pPr>
            <w:r>
              <w:rPr>
                <w:rFonts w:hint="eastAsia" w:hAnsi="宋体" w:cs="宋体"/>
                <w:color w:val="000000"/>
                <w:kern w:val="0"/>
                <w:sz w:val="24"/>
                <w:szCs w:val="24"/>
              </w:rPr>
              <w:t>政府集中采购</w:t>
            </w:r>
          </w:p>
        </w:tc>
        <w:tc>
          <w:tcPr>
            <w:tcW w:w="2376" w:type="dxa"/>
            <w:shd w:val="clear" w:color="auto" w:fill="FFFFFF" w:themeFill="background1"/>
            <w:noWrap/>
            <w:vAlign w:val="center"/>
          </w:tcPr>
          <w:p>
            <w:pPr>
              <w:adjustRightInd w:val="0"/>
              <w:snapToGrid w:val="0"/>
              <w:ind w:left="0" w:leftChars="0" w:right="0" w:rightChars="0" w:firstLine="0" w:firstLine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　2533</w:t>
            </w:r>
          </w:p>
        </w:tc>
        <w:tc>
          <w:tcPr>
            <w:tcW w:w="3898" w:type="dxa"/>
            <w:gridSpan w:val="2"/>
            <w:shd w:val="clear" w:color="auto" w:fill="FFFFFF" w:themeFill="background1"/>
            <w:noWrap/>
            <w:vAlign w:val="center"/>
          </w:tcPr>
          <w:p>
            <w:pPr>
              <w:adjustRightInd w:val="0"/>
              <w:snapToGrid w:val="0"/>
              <w:ind w:left="0" w:leftChars="0" w:right="0" w:rightChars="0" w:firstLine="0" w:firstLineChars="0"/>
              <w:jc w:val="center"/>
              <w:rPr>
                <w:rFonts w:hint="eastAsia"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63.8495亿元</w:t>
            </w:r>
          </w:p>
        </w:tc>
      </w:tr>
    </w:tbl>
    <w:p>
      <w:pPr>
        <w:pStyle w:val="6"/>
        <w:keepNext w:val="0"/>
        <w:keepLines w:val="0"/>
        <w:pageBreakBefore w:val="0"/>
        <w:widowControl/>
        <w:kinsoku/>
        <w:wordWrap/>
        <w:overflowPunct/>
        <w:topLinePunct w:val="0"/>
        <w:autoSpaceDE/>
        <w:autoSpaceDN/>
        <w:bidi w:val="0"/>
        <w:adjustRightInd/>
        <w:snapToGrid/>
        <w:spacing w:line="360" w:lineRule="exact"/>
        <w:ind w:firstLine="640" w:firstLineChars="200"/>
        <w:jc w:val="both"/>
        <w:textAlignment w:val="auto"/>
        <w:outlineLvl w:val="9"/>
        <w:rPr>
          <w:rFonts w:ascii="黑体" w:hAnsi="黑体" w:eastAsia="黑体" w:cs="黑体"/>
          <w:bCs/>
          <w:color w:val="auto"/>
          <w:sz w:val="32"/>
          <w:szCs w:val="32"/>
        </w:rPr>
      </w:pPr>
      <w:r>
        <w:rPr>
          <w:rFonts w:hint="eastAsia" w:ascii="黑体" w:hAnsi="黑体" w:eastAsia="黑体" w:cs="黑体"/>
          <w:bCs/>
          <w:color w:val="auto"/>
          <w:sz w:val="32"/>
          <w:szCs w:val="32"/>
          <w:lang w:eastAsia="zh-CN"/>
        </w:rPr>
        <w:t>三</w:t>
      </w:r>
      <w:r>
        <w:rPr>
          <w:rFonts w:hint="eastAsia" w:ascii="黑体" w:hAnsi="黑体" w:eastAsia="黑体" w:cs="黑体"/>
          <w:bCs/>
          <w:color w:val="auto"/>
          <w:sz w:val="32"/>
          <w:szCs w:val="32"/>
        </w:rPr>
        <w:t>、收到和处理政府信息公开申请情况</w:t>
      </w:r>
    </w:p>
    <w:tbl>
      <w:tblPr>
        <w:tblStyle w:val="9"/>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699"/>
        <w:gridCol w:w="2520"/>
        <w:gridCol w:w="795"/>
        <w:gridCol w:w="693"/>
        <w:gridCol w:w="682"/>
        <w:gridCol w:w="810"/>
        <w:gridCol w:w="885"/>
        <w:gridCol w:w="653"/>
        <w:gridCol w:w="7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trPr>
        <w:tc>
          <w:tcPr>
            <w:tcW w:w="3815" w:type="dxa"/>
            <w:gridSpan w:val="3"/>
            <w:vMerge w:val="restart"/>
            <w:shd w:val="clear" w:color="auto" w:fill="9CC2E5" w:themeFill="accent1" w:themeFillTint="99"/>
            <w:noWrap w:val="0"/>
            <w:vAlign w:val="center"/>
          </w:tcPr>
          <w:p>
            <w:pPr>
              <w:adjustRightInd w:val="0"/>
              <w:snapToGrid w:val="0"/>
              <w:rPr>
                <w:rFonts w:ascii="黑体" w:eastAsia="黑体"/>
                <w:color w:val="auto"/>
                <w:spacing w:val="-8"/>
                <w:sz w:val="24"/>
              </w:rPr>
            </w:pPr>
            <w:r>
              <w:rPr>
                <w:rFonts w:hint="eastAsia" w:ascii="黑体" w:eastAsia="黑体"/>
                <w:color w:val="auto"/>
                <w:spacing w:val="-8"/>
                <w:sz w:val="24"/>
              </w:rPr>
              <w:t>本列数据的勾稽关系为：第一项加第二项之和，等于第三项加第四项之和</w:t>
            </w:r>
          </w:p>
        </w:tc>
        <w:tc>
          <w:tcPr>
            <w:tcW w:w="5245" w:type="dxa"/>
            <w:gridSpan w:val="7"/>
            <w:tcBorders>
              <w:left w:val="nil"/>
            </w:tcBorders>
            <w:shd w:val="clear" w:color="auto" w:fill="9CC2E5" w:themeFill="accent1" w:themeFillTint="99"/>
            <w:noWrap w:val="0"/>
            <w:vAlign w:val="center"/>
          </w:tcPr>
          <w:p>
            <w:pPr>
              <w:adjustRightInd w:val="0"/>
              <w:snapToGrid w:val="0"/>
              <w:jc w:val="center"/>
              <w:rPr>
                <w:rFonts w:ascii="黑体" w:eastAsia="黑体"/>
                <w:color w:val="auto"/>
                <w:sz w:val="24"/>
              </w:rPr>
            </w:pPr>
            <w:r>
              <w:rPr>
                <w:rFonts w:hint="eastAsia" w:ascii="黑体" w:eastAsia="黑体"/>
                <w:color w:val="auto"/>
                <w:sz w:val="24"/>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trPr>
        <w:tc>
          <w:tcPr>
            <w:tcW w:w="3815" w:type="dxa"/>
            <w:gridSpan w:val="3"/>
            <w:vMerge w:val="continue"/>
            <w:shd w:val="clear" w:color="auto" w:fill="9CC2E5" w:themeFill="accent1" w:themeFillTint="99"/>
            <w:noWrap w:val="0"/>
            <w:vAlign w:val="center"/>
          </w:tcPr>
          <w:p>
            <w:pPr>
              <w:adjustRightInd w:val="0"/>
              <w:snapToGrid w:val="0"/>
              <w:jc w:val="left"/>
              <w:rPr>
                <w:rFonts w:ascii="黑体" w:hAnsi="宋体" w:eastAsia="黑体" w:cs="宋体"/>
                <w:color w:val="auto"/>
                <w:sz w:val="24"/>
              </w:rPr>
            </w:pPr>
          </w:p>
        </w:tc>
        <w:tc>
          <w:tcPr>
            <w:tcW w:w="795" w:type="dxa"/>
            <w:vMerge w:val="restart"/>
            <w:tcBorders>
              <w:top w:val="nil"/>
              <w:left w:val="nil"/>
            </w:tcBorders>
            <w:shd w:val="clear" w:color="auto" w:fill="BDD6EE" w:themeFill="accent1" w:themeFillTint="66"/>
            <w:noWrap w:val="0"/>
            <w:vAlign w:val="center"/>
          </w:tcPr>
          <w:p>
            <w:pPr>
              <w:adjustRightInd w:val="0"/>
              <w:snapToGrid w:val="0"/>
              <w:jc w:val="center"/>
              <w:rPr>
                <w:rFonts w:ascii="黑体" w:eastAsia="黑体"/>
                <w:color w:val="auto"/>
                <w:sz w:val="24"/>
              </w:rPr>
            </w:pPr>
            <w:r>
              <w:rPr>
                <w:rFonts w:hint="eastAsia" w:ascii="黑体" w:eastAsia="黑体"/>
                <w:color w:val="auto"/>
                <w:sz w:val="24"/>
              </w:rPr>
              <w:t>自然人</w:t>
            </w:r>
          </w:p>
        </w:tc>
        <w:tc>
          <w:tcPr>
            <w:tcW w:w="3723" w:type="dxa"/>
            <w:gridSpan w:val="5"/>
            <w:tcBorders>
              <w:left w:val="nil"/>
            </w:tcBorders>
            <w:shd w:val="clear" w:color="auto" w:fill="BDD6EE" w:themeFill="accent1" w:themeFillTint="66"/>
            <w:noWrap w:val="0"/>
            <w:vAlign w:val="center"/>
          </w:tcPr>
          <w:p>
            <w:pPr>
              <w:adjustRightInd w:val="0"/>
              <w:snapToGrid w:val="0"/>
              <w:jc w:val="center"/>
              <w:rPr>
                <w:rFonts w:hint="eastAsia" w:ascii="黑体" w:eastAsia="黑体"/>
                <w:color w:val="auto"/>
                <w:sz w:val="24"/>
              </w:rPr>
            </w:pPr>
            <w:r>
              <w:rPr>
                <w:rFonts w:hint="eastAsia" w:ascii="黑体" w:eastAsia="黑体"/>
                <w:color w:val="auto"/>
                <w:sz w:val="24"/>
              </w:rPr>
              <w:t>法人或其他组织</w:t>
            </w:r>
          </w:p>
        </w:tc>
        <w:tc>
          <w:tcPr>
            <w:tcW w:w="727" w:type="dxa"/>
            <w:vMerge w:val="restart"/>
            <w:tcBorders>
              <w:left w:val="nil"/>
            </w:tcBorders>
            <w:shd w:val="clear" w:color="auto" w:fill="BDD6EE" w:themeFill="accent1" w:themeFillTint="66"/>
            <w:noWrap w:val="0"/>
            <w:vAlign w:val="center"/>
          </w:tcPr>
          <w:p>
            <w:pPr>
              <w:adjustRightInd w:val="0"/>
              <w:snapToGrid w:val="0"/>
              <w:jc w:val="center"/>
              <w:rPr>
                <w:rFonts w:ascii="黑体" w:eastAsia="黑体"/>
                <w:color w:val="auto"/>
                <w:sz w:val="24"/>
              </w:rPr>
            </w:pPr>
            <w:r>
              <w:rPr>
                <w:rFonts w:hint="eastAsia" w:ascii="黑体" w:eastAsia="黑体"/>
                <w:color w:val="auto"/>
                <w:sz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blHeader/>
        </w:trPr>
        <w:tc>
          <w:tcPr>
            <w:tcW w:w="3815" w:type="dxa"/>
            <w:gridSpan w:val="3"/>
            <w:vMerge w:val="continue"/>
            <w:shd w:val="clear" w:color="auto" w:fill="9CC2E5" w:themeFill="accent1" w:themeFillTint="99"/>
            <w:noWrap w:val="0"/>
            <w:vAlign w:val="center"/>
          </w:tcPr>
          <w:p>
            <w:pPr>
              <w:adjustRightInd w:val="0"/>
              <w:snapToGrid w:val="0"/>
              <w:jc w:val="left"/>
              <w:rPr>
                <w:rFonts w:ascii="黑体" w:hAnsi="宋体" w:eastAsia="黑体" w:cs="宋体"/>
                <w:color w:val="auto"/>
                <w:sz w:val="24"/>
              </w:rPr>
            </w:pPr>
          </w:p>
        </w:tc>
        <w:tc>
          <w:tcPr>
            <w:tcW w:w="795" w:type="dxa"/>
            <w:vMerge w:val="continue"/>
            <w:tcBorders>
              <w:top w:val="nil"/>
              <w:left w:val="nil"/>
            </w:tcBorders>
            <w:shd w:val="clear" w:color="auto" w:fill="BDD6EE" w:themeFill="accent1" w:themeFillTint="66"/>
            <w:noWrap w:val="0"/>
            <w:vAlign w:val="center"/>
          </w:tcPr>
          <w:p>
            <w:pPr>
              <w:adjustRightInd w:val="0"/>
              <w:snapToGrid w:val="0"/>
              <w:jc w:val="left"/>
              <w:rPr>
                <w:rFonts w:ascii="黑体" w:hAnsi="宋体" w:eastAsia="黑体" w:cs="宋体"/>
                <w:color w:val="auto"/>
                <w:sz w:val="24"/>
              </w:rPr>
            </w:pPr>
          </w:p>
        </w:tc>
        <w:tc>
          <w:tcPr>
            <w:tcW w:w="693" w:type="dxa"/>
            <w:tcBorders>
              <w:left w:val="nil"/>
            </w:tcBorders>
            <w:shd w:val="clear" w:color="auto" w:fill="DEEBF6" w:themeFill="accent1" w:themeFillTint="32"/>
            <w:noWrap w:val="0"/>
            <w:vAlign w:val="center"/>
          </w:tcPr>
          <w:p>
            <w:pPr>
              <w:adjustRightInd w:val="0"/>
              <w:snapToGrid w:val="0"/>
              <w:jc w:val="center"/>
              <w:rPr>
                <w:rFonts w:ascii="黑体" w:eastAsia="黑体"/>
                <w:color w:val="auto"/>
                <w:spacing w:val="-11"/>
                <w:sz w:val="24"/>
              </w:rPr>
            </w:pPr>
            <w:r>
              <w:rPr>
                <w:rFonts w:hint="eastAsia" w:ascii="黑体" w:eastAsia="黑体"/>
                <w:color w:val="auto"/>
                <w:spacing w:val="-11"/>
                <w:sz w:val="24"/>
              </w:rPr>
              <w:t>商业企业</w:t>
            </w:r>
          </w:p>
        </w:tc>
        <w:tc>
          <w:tcPr>
            <w:tcW w:w="682" w:type="dxa"/>
            <w:tcBorders>
              <w:left w:val="nil"/>
            </w:tcBorders>
            <w:shd w:val="clear" w:color="auto" w:fill="DEEBF6" w:themeFill="accent1" w:themeFillTint="32"/>
            <w:noWrap w:val="0"/>
            <w:vAlign w:val="center"/>
          </w:tcPr>
          <w:p>
            <w:pPr>
              <w:adjustRightInd w:val="0"/>
              <w:snapToGrid w:val="0"/>
              <w:jc w:val="center"/>
              <w:rPr>
                <w:rFonts w:ascii="黑体" w:eastAsia="黑体"/>
                <w:color w:val="auto"/>
                <w:spacing w:val="-11"/>
                <w:sz w:val="24"/>
              </w:rPr>
            </w:pPr>
            <w:r>
              <w:rPr>
                <w:rFonts w:hint="eastAsia" w:ascii="黑体" w:eastAsia="黑体"/>
                <w:color w:val="auto"/>
                <w:spacing w:val="-11"/>
                <w:sz w:val="24"/>
              </w:rPr>
              <w:t>科研机构</w:t>
            </w:r>
          </w:p>
        </w:tc>
        <w:tc>
          <w:tcPr>
            <w:tcW w:w="810" w:type="dxa"/>
            <w:tcBorders>
              <w:left w:val="nil"/>
            </w:tcBorders>
            <w:shd w:val="clear" w:color="auto" w:fill="DEEBF6" w:themeFill="accent1" w:themeFillTint="32"/>
            <w:noWrap w:val="0"/>
            <w:vAlign w:val="center"/>
          </w:tcPr>
          <w:p>
            <w:pPr>
              <w:adjustRightInd w:val="0"/>
              <w:snapToGrid w:val="0"/>
              <w:ind w:left="-63" w:leftChars="-30" w:right="-63" w:rightChars="-30"/>
              <w:jc w:val="center"/>
              <w:rPr>
                <w:rFonts w:ascii="黑体" w:eastAsia="黑体"/>
                <w:color w:val="auto"/>
                <w:spacing w:val="-11"/>
                <w:sz w:val="24"/>
              </w:rPr>
            </w:pPr>
            <w:r>
              <w:rPr>
                <w:rFonts w:hint="eastAsia" w:ascii="黑体" w:eastAsia="黑体"/>
                <w:color w:val="auto"/>
                <w:spacing w:val="-11"/>
                <w:sz w:val="24"/>
              </w:rPr>
              <w:t>社会公益组织</w:t>
            </w:r>
          </w:p>
        </w:tc>
        <w:tc>
          <w:tcPr>
            <w:tcW w:w="885" w:type="dxa"/>
            <w:tcBorders>
              <w:left w:val="nil"/>
            </w:tcBorders>
            <w:shd w:val="clear" w:color="auto" w:fill="DEEBF6" w:themeFill="accent1" w:themeFillTint="32"/>
            <w:noWrap w:val="0"/>
            <w:vAlign w:val="center"/>
          </w:tcPr>
          <w:p>
            <w:pPr>
              <w:adjustRightInd w:val="0"/>
              <w:snapToGrid w:val="0"/>
              <w:ind w:left="-63" w:leftChars="-30" w:right="-63" w:rightChars="-30"/>
              <w:jc w:val="center"/>
              <w:rPr>
                <w:rFonts w:ascii="黑体" w:eastAsia="黑体"/>
                <w:color w:val="auto"/>
                <w:spacing w:val="-11"/>
                <w:sz w:val="24"/>
              </w:rPr>
            </w:pPr>
            <w:r>
              <w:rPr>
                <w:rFonts w:hint="eastAsia" w:ascii="黑体" w:eastAsia="黑体"/>
                <w:color w:val="auto"/>
                <w:spacing w:val="-11"/>
                <w:sz w:val="24"/>
              </w:rPr>
              <w:t>法律服务机构</w:t>
            </w:r>
          </w:p>
        </w:tc>
        <w:tc>
          <w:tcPr>
            <w:tcW w:w="653" w:type="dxa"/>
            <w:tcBorders>
              <w:left w:val="nil"/>
            </w:tcBorders>
            <w:shd w:val="clear" w:color="auto" w:fill="DEEBF6" w:themeFill="accent1" w:themeFillTint="32"/>
            <w:noWrap w:val="0"/>
            <w:vAlign w:val="center"/>
          </w:tcPr>
          <w:p>
            <w:pPr>
              <w:adjustRightInd w:val="0"/>
              <w:snapToGrid w:val="0"/>
              <w:jc w:val="center"/>
              <w:rPr>
                <w:rFonts w:ascii="黑体" w:eastAsia="黑体"/>
                <w:color w:val="auto"/>
                <w:spacing w:val="-11"/>
                <w:sz w:val="24"/>
              </w:rPr>
            </w:pPr>
            <w:r>
              <w:rPr>
                <w:rFonts w:hint="eastAsia" w:ascii="黑体" w:eastAsia="黑体"/>
                <w:color w:val="auto"/>
                <w:spacing w:val="-11"/>
                <w:sz w:val="24"/>
              </w:rPr>
              <w:t>其他</w:t>
            </w:r>
          </w:p>
        </w:tc>
        <w:tc>
          <w:tcPr>
            <w:tcW w:w="727" w:type="dxa"/>
            <w:vMerge w:val="continue"/>
            <w:tcBorders>
              <w:left w:val="nil"/>
            </w:tcBorders>
            <w:shd w:val="clear" w:color="auto" w:fill="BDD6EE" w:themeFill="accent1" w:themeFillTint="66"/>
            <w:noWrap w:val="0"/>
            <w:vAlign w:val="center"/>
          </w:tcPr>
          <w:p>
            <w:pPr>
              <w:adjustRightInd w:val="0"/>
              <w:snapToGrid w:val="0"/>
              <w:jc w:val="left"/>
              <w:rPr>
                <w:rFonts w:hAnsi="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3815" w:type="dxa"/>
            <w:gridSpan w:val="3"/>
            <w:shd w:val="clear" w:color="auto" w:fill="9CC2E5" w:themeFill="accent1" w:themeFillTint="99"/>
            <w:noWrap w:val="0"/>
            <w:vAlign w:val="center"/>
          </w:tcPr>
          <w:p>
            <w:pPr>
              <w:adjustRightInd w:val="0"/>
              <w:snapToGrid w:val="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pacing w:val="-11"/>
                <w:sz w:val="24"/>
              </w:rPr>
              <w:t>一、本年新收政府信息公开申请数量</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1344</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71</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7</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2</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15</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2</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1441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3815" w:type="dxa"/>
            <w:gridSpan w:val="3"/>
            <w:shd w:val="clear" w:color="auto" w:fill="9CC2E5" w:themeFill="accent1" w:themeFillTint="99"/>
            <w:noWrap w:val="0"/>
            <w:vAlign w:val="center"/>
          </w:tcPr>
          <w:p>
            <w:pPr>
              <w:adjustRightInd w:val="0"/>
              <w:snapToGrid w:val="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二、</w:t>
            </w:r>
            <w:r>
              <w:rPr>
                <w:rFonts w:hint="eastAsia" w:ascii="仿宋_GB2312" w:hAnsi="仿宋_GB2312" w:eastAsia="仿宋_GB2312" w:cs="仿宋_GB2312"/>
                <w:color w:val="auto"/>
                <w:spacing w:val="-11"/>
                <w:sz w:val="24"/>
              </w:rPr>
              <w:t>上年结转政府信息公开申请数量</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10</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6" w:type="dxa"/>
            <w:vMerge w:val="restart"/>
            <w:tcBorders>
              <w:top w:val="nil"/>
            </w:tcBorders>
            <w:shd w:val="clear" w:color="auto" w:fill="9CC2E5" w:themeFill="accent1" w:themeFillTint="99"/>
            <w:noWrap w:val="0"/>
            <w:vAlign w:val="center"/>
          </w:tcPr>
          <w:p>
            <w:pPr>
              <w:adjustRightInd w:val="0"/>
              <w:snapToGrid w:val="0"/>
              <w:jc w:val="center"/>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三、本年度办理结果</w:t>
            </w:r>
          </w:p>
        </w:tc>
        <w:tc>
          <w:tcPr>
            <w:tcW w:w="3219" w:type="dxa"/>
            <w:gridSpan w:val="2"/>
            <w:tcBorders>
              <w:left w:val="nil"/>
            </w:tcBorders>
            <w:shd w:val="clear" w:color="auto" w:fill="BDD6EE" w:themeFill="accent1" w:themeFillTint="66"/>
            <w:noWrap w:val="0"/>
            <w:vAlign w:val="center"/>
          </w:tcPr>
          <w:p>
            <w:pPr>
              <w:adjustRightInd w:val="0"/>
              <w:snapToGrid w:val="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（一）予以公开</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623</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20</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7</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653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96" w:type="dxa"/>
            <w:vMerge w:val="continue"/>
            <w:tcBorders>
              <w:top w:val="nil"/>
            </w:tcBorders>
            <w:shd w:val="clear" w:color="auto" w:fill="9CC2E5" w:themeFill="accent1" w:themeFillTint="99"/>
            <w:noWrap w:val="0"/>
            <w:vAlign w:val="center"/>
          </w:tcPr>
          <w:p>
            <w:pPr>
              <w:adjustRightInd w:val="0"/>
              <w:snapToGrid w:val="0"/>
              <w:jc w:val="left"/>
              <w:rPr>
                <w:rFonts w:hAnsi="宋体" w:cs="宋体"/>
                <w:color w:val="auto"/>
                <w:sz w:val="24"/>
              </w:rPr>
            </w:pPr>
          </w:p>
        </w:tc>
        <w:tc>
          <w:tcPr>
            <w:tcW w:w="3219" w:type="dxa"/>
            <w:gridSpan w:val="2"/>
            <w:tcBorders>
              <w:left w:val="nil"/>
            </w:tcBorders>
            <w:shd w:val="clear" w:color="auto" w:fill="BDD6EE" w:themeFill="accent1" w:themeFillTint="66"/>
            <w:noWrap w:val="0"/>
            <w:vAlign w:val="center"/>
          </w:tcPr>
          <w:p>
            <w:pPr>
              <w:adjustRightInd w:val="0"/>
              <w:snapToGrid w:val="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（二）部分公开（区分处理的，只计这一情形，不计其他情形）</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174</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10</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4</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96" w:type="dxa"/>
            <w:vMerge w:val="continue"/>
            <w:tcBorders>
              <w:top w:val="nil"/>
            </w:tcBorders>
            <w:shd w:val="clear" w:color="auto" w:fill="9CC2E5" w:themeFill="accent1" w:themeFillTint="99"/>
            <w:noWrap w:val="0"/>
            <w:vAlign w:val="center"/>
          </w:tcPr>
          <w:p>
            <w:pPr>
              <w:adjustRightInd w:val="0"/>
              <w:snapToGrid w:val="0"/>
              <w:jc w:val="left"/>
              <w:rPr>
                <w:rFonts w:hAnsi="宋体" w:cs="宋体"/>
                <w:color w:val="auto"/>
                <w:sz w:val="24"/>
              </w:rPr>
            </w:pPr>
          </w:p>
        </w:tc>
        <w:tc>
          <w:tcPr>
            <w:tcW w:w="699" w:type="dxa"/>
            <w:vMerge w:val="restart"/>
            <w:tcBorders>
              <w:top w:val="nil"/>
              <w:left w:val="nil"/>
            </w:tcBorders>
            <w:shd w:val="clear" w:color="auto" w:fill="BDD6EE" w:themeFill="accent1" w:themeFillTint="66"/>
            <w:noWrap w:val="0"/>
            <w:vAlign w:val="center"/>
          </w:tcPr>
          <w:p>
            <w:pPr>
              <w:adjustRightInd w:val="0"/>
              <w:snapToGrid w:val="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(三)</w:t>
            </w:r>
          </w:p>
          <w:p>
            <w:pPr>
              <w:adjustRightInd w:val="0"/>
              <w:snapToGrid w:val="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不予公开</w:t>
            </w:r>
          </w:p>
        </w:tc>
        <w:tc>
          <w:tcPr>
            <w:tcW w:w="2520" w:type="dxa"/>
            <w:tcBorders>
              <w:left w:val="nil"/>
            </w:tcBorders>
            <w:shd w:val="clear" w:color="auto" w:fill="DEEBF6" w:themeFill="accent1" w:themeFillTint="32"/>
            <w:noWrap w:val="0"/>
            <w:vAlign w:val="center"/>
          </w:tcPr>
          <w:p>
            <w:pPr>
              <w:adjustRightInd w:val="0"/>
              <w:snapToGrid w:val="0"/>
              <w:ind w:left="-63" w:leftChars="-30" w:right="-63" w:rightChars="-3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1.属于国家秘密</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3</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96" w:type="dxa"/>
            <w:vMerge w:val="continue"/>
            <w:tcBorders>
              <w:top w:val="nil"/>
            </w:tcBorders>
            <w:shd w:val="clear" w:color="auto" w:fill="9CC2E5" w:themeFill="accent1" w:themeFillTint="99"/>
            <w:noWrap w:val="0"/>
            <w:vAlign w:val="center"/>
          </w:tcPr>
          <w:p>
            <w:pPr>
              <w:adjustRightInd w:val="0"/>
              <w:snapToGrid w:val="0"/>
              <w:jc w:val="left"/>
              <w:rPr>
                <w:rFonts w:hAnsi="宋体" w:cs="宋体"/>
                <w:color w:val="auto"/>
                <w:sz w:val="24"/>
              </w:rPr>
            </w:pPr>
          </w:p>
        </w:tc>
        <w:tc>
          <w:tcPr>
            <w:tcW w:w="699" w:type="dxa"/>
            <w:vMerge w:val="continue"/>
            <w:tcBorders>
              <w:top w:val="nil"/>
              <w:left w:val="nil"/>
            </w:tcBorders>
            <w:shd w:val="clear" w:color="auto" w:fill="BDD6EE" w:themeFill="accent1" w:themeFillTint="66"/>
            <w:noWrap w:val="0"/>
            <w:vAlign w:val="center"/>
          </w:tcPr>
          <w:p>
            <w:pPr>
              <w:adjustRightInd w:val="0"/>
              <w:snapToGrid w:val="0"/>
              <w:jc w:val="left"/>
              <w:rPr>
                <w:rFonts w:hint="eastAsia" w:ascii="仿宋_GB2312" w:hAnsi="仿宋_GB2312" w:eastAsia="仿宋_GB2312" w:cs="仿宋_GB2312"/>
                <w:color w:val="auto"/>
                <w:sz w:val="24"/>
              </w:rPr>
            </w:pPr>
          </w:p>
        </w:tc>
        <w:tc>
          <w:tcPr>
            <w:tcW w:w="2520" w:type="dxa"/>
            <w:tcBorders>
              <w:left w:val="nil"/>
            </w:tcBorders>
            <w:shd w:val="clear" w:color="auto" w:fill="DEEBF6" w:themeFill="accent1" w:themeFillTint="32"/>
            <w:noWrap w:val="0"/>
            <w:vAlign w:val="center"/>
          </w:tcPr>
          <w:p>
            <w:pPr>
              <w:adjustRightInd w:val="0"/>
              <w:snapToGrid w:val="0"/>
              <w:ind w:left="-63" w:leftChars="-30" w:right="-63" w:rightChars="-3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2.其他法律行政法规禁止公开</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5</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96" w:type="dxa"/>
            <w:vMerge w:val="continue"/>
            <w:tcBorders>
              <w:top w:val="nil"/>
            </w:tcBorders>
            <w:shd w:val="clear" w:color="auto" w:fill="9CC2E5" w:themeFill="accent1" w:themeFillTint="99"/>
            <w:noWrap w:val="0"/>
            <w:vAlign w:val="center"/>
          </w:tcPr>
          <w:p>
            <w:pPr>
              <w:adjustRightInd w:val="0"/>
              <w:snapToGrid w:val="0"/>
              <w:jc w:val="left"/>
              <w:rPr>
                <w:rFonts w:hAnsi="宋体" w:cs="宋体"/>
                <w:color w:val="auto"/>
                <w:sz w:val="24"/>
              </w:rPr>
            </w:pPr>
          </w:p>
        </w:tc>
        <w:tc>
          <w:tcPr>
            <w:tcW w:w="699" w:type="dxa"/>
            <w:vMerge w:val="continue"/>
            <w:tcBorders>
              <w:top w:val="nil"/>
              <w:left w:val="nil"/>
            </w:tcBorders>
            <w:shd w:val="clear" w:color="auto" w:fill="BDD6EE" w:themeFill="accent1" w:themeFillTint="66"/>
            <w:noWrap w:val="0"/>
            <w:vAlign w:val="center"/>
          </w:tcPr>
          <w:p>
            <w:pPr>
              <w:adjustRightInd w:val="0"/>
              <w:snapToGrid w:val="0"/>
              <w:jc w:val="left"/>
              <w:rPr>
                <w:rFonts w:hint="eastAsia" w:ascii="仿宋_GB2312" w:hAnsi="仿宋_GB2312" w:eastAsia="仿宋_GB2312" w:cs="仿宋_GB2312"/>
                <w:color w:val="auto"/>
                <w:sz w:val="24"/>
              </w:rPr>
            </w:pPr>
          </w:p>
        </w:tc>
        <w:tc>
          <w:tcPr>
            <w:tcW w:w="2520" w:type="dxa"/>
            <w:tcBorders>
              <w:left w:val="nil"/>
            </w:tcBorders>
            <w:shd w:val="clear" w:color="auto" w:fill="DEEBF6" w:themeFill="accent1" w:themeFillTint="32"/>
            <w:noWrap w:val="0"/>
            <w:vAlign w:val="center"/>
          </w:tcPr>
          <w:p>
            <w:pPr>
              <w:adjustRightInd w:val="0"/>
              <w:snapToGrid w:val="0"/>
              <w:ind w:left="-63" w:leftChars="-30" w:right="-63" w:rightChars="-3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3.危</w:t>
            </w:r>
            <w:r>
              <w:rPr>
                <w:rFonts w:hint="eastAsia" w:ascii="仿宋_GB2312" w:hAnsi="仿宋_GB2312" w:eastAsia="仿宋_GB2312" w:cs="仿宋_GB2312"/>
                <w:color w:val="auto"/>
                <w:spacing w:val="-16"/>
                <w:sz w:val="24"/>
              </w:rPr>
              <w:t>及“三安全一稳定”</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2</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96" w:type="dxa"/>
            <w:vMerge w:val="continue"/>
            <w:tcBorders>
              <w:top w:val="nil"/>
            </w:tcBorders>
            <w:shd w:val="clear" w:color="auto" w:fill="9CC2E5" w:themeFill="accent1" w:themeFillTint="99"/>
            <w:noWrap w:val="0"/>
            <w:vAlign w:val="center"/>
          </w:tcPr>
          <w:p>
            <w:pPr>
              <w:adjustRightInd w:val="0"/>
              <w:snapToGrid w:val="0"/>
              <w:jc w:val="left"/>
              <w:rPr>
                <w:rFonts w:hAnsi="宋体" w:cs="宋体"/>
                <w:color w:val="auto"/>
                <w:sz w:val="24"/>
              </w:rPr>
            </w:pPr>
          </w:p>
        </w:tc>
        <w:tc>
          <w:tcPr>
            <w:tcW w:w="699" w:type="dxa"/>
            <w:vMerge w:val="continue"/>
            <w:tcBorders>
              <w:top w:val="nil"/>
              <w:left w:val="nil"/>
            </w:tcBorders>
            <w:shd w:val="clear" w:color="auto" w:fill="BDD6EE" w:themeFill="accent1" w:themeFillTint="66"/>
            <w:noWrap w:val="0"/>
            <w:vAlign w:val="center"/>
          </w:tcPr>
          <w:p>
            <w:pPr>
              <w:adjustRightInd w:val="0"/>
              <w:snapToGrid w:val="0"/>
              <w:jc w:val="left"/>
              <w:rPr>
                <w:rFonts w:hint="eastAsia" w:ascii="仿宋_GB2312" w:hAnsi="仿宋_GB2312" w:eastAsia="仿宋_GB2312" w:cs="仿宋_GB2312"/>
                <w:color w:val="auto"/>
                <w:sz w:val="24"/>
              </w:rPr>
            </w:pPr>
          </w:p>
        </w:tc>
        <w:tc>
          <w:tcPr>
            <w:tcW w:w="2520" w:type="dxa"/>
            <w:tcBorders>
              <w:left w:val="nil"/>
            </w:tcBorders>
            <w:shd w:val="clear" w:color="auto" w:fill="DEEBF6" w:themeFill="accent1" w:themeFillTint="32"/>
            <w:noWrap w:val="0"/>
            <w:vAlign w:val="center"/>
          </w:tcPr>
          <w:p>
            <w:pPr>
              <w:adjustRightInd w:val="0"/>
              <w:snapToGrid w:val="0"/>
              <w:ind w:left="-63" w:leftChars="-30" w:right="-63" w:rightChars="-3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4.保</w:t>
            </w:r>
            <w:r>
              <w:rPr>
                <w:rFonts w:hint="eastAsia" w:ascii="仿宋_GB2312" w:hAnsi="仿宋_GB2312" w:eastAsia="仿宋_GB2312" w:cs="仿宋_GB2312"/>
                <w:color w:val="auto"/>
                <w:spacing w:val="-20"/>
                <w:sz w:val="24"/>
              </w:rPr>
              <w:t>护第三方合法权益</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10</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2</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96" w:type="dxa"/>
            <w:vMerge w:val="continue"/>
            <w:tcBorders>
              <w:top w:val="nil"/>
            </w:tcBorders>
            <w:shd w:val="clear" w:color="auto" w:fill="9CC2E5" w:themeFill="accent1" w:themeFillTint="99"/>
            <w:noWrap w:val="0"/>
            <w:vAlign w:val="center"/>
          </w:tcPr>
          <w:p>
            <w:pPr>
              <w:adjustRightInd w:val="0"/>
              <w:snapToGrid w:val="0"/>
              <w:jc w:val="left"/>
              <w:rPr>
                <w:rFonts w:hAnsi="宋体" w:cs="宋体"/>
                <w:color w:val="auto"/>
                <w:sz w:val="24"/>
              </w:rPr>
            </w:pPr>
          </w:p>
        </w:tc>
        <w:tc>
          <w:tcPr>
            <w:tcW w:w="699" w:type="dxa"/>
            <w:vMerge w:val="continue"/>
            <w:tcBorders>
              <w:top w:val="nil"/>
              <w:left w:val="nil"/>
            </w:tcBorders>
            <w:shd w:val="clear" w:color="auto" w:fill="BDD6EE" w:themeFill="accent1" w:themeFillTint="66"/>
            <w:noWrap w:val="0"/>
            <w:vAlign w:val="center"/>
          </w:tcPr>
          <w:p>
            <w:pPr>
              <w:adjustRightInd w:val="0"/>
              <w:snapToGrid w:val="0"/>
              <w:jc w:val="left"/>
              <w:rPr>
                <w:rFonts w:hint="eastAsia" w:ascii="仿宋_GB2312" w:hAnsi="仿宋_GB2312" w:eastAsia="仿宋_GB2312" w:cs="仿宋_GB2312"/>
                <w:color w:val="auto"/>
                <w:sz w:val="24"/>
              </w:rPr>
            </w:pPr>
          </w:p>
        </w:tc>
        <w:tc>
          <w:tcPr>
            <w:tcW w:w="2520" w:type="dxa"/>
            <w:tcBorders>
              <w:left w:val="nil"/>
            </w:tcBorders>
            <w:shd w:val="clear" w:color="auto" w:fill="DEEBF6" w:themeFill="accent1" w:themeFillTint="32"/>
            <w:noWrap w:val="0"/>
            <w:vAlign w:val="center"/>
          </w:tcPr>
          <w:p>
            <w:pPr>
              <w:adjustRightInd w:val="0"/>
              <w:snapToGrid w:val="0"/>
              <w:ind w:left="-63" w:leftChars="-30" w:right="-63" w:rightChars="-3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5</w:t>
            </w:r>
            <w:r>
              <w:rPr>
                <w:rFonts w:hint="eastAsia" w:ascii="仿宋_GB2312" w:hAnsi="仿宋_GB2312" w:eastAsia="仿宋_GB2312" w:cs="仿宋_GB2312"/>
                <w:color w:val="auto"/>
                <w:spacing w:val="-11"/>
                <w:sz w:val="24"/>
              </w:rPr>
              <w:t>.属于三类内部事务信息</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21</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96" w:type="dxa"/>
            <w:vMerge w:val="continue"/>
            <w:tcBorders>
              <w:top w:val="nil"/>
            </w:tcBorders>
            <w:shd w:val="clear" w:color="auto" w:fill="9CC2E5" w:themeFill="accent1" w:themeFillTint="99"/>
            <w:noWrap w:val="0"/>
            <w:vAlign w:val="center"/>
          </w:tcPr>
          <w:p>
            <w:pPr>
              <w:adjustRightInd w:val="0"/>
              <w:snapToGrid w:val="0"/>
              <w:jc w:val="left"/>
              <w:rPr>
                <w:rFonts w:hAnsi="宋体" w:cs="宋体"/>
                <w:color w:val="auto"/>
                <w:sz w:val="24"/>
              </w:rPr>
            </w:pPr>
          </w:p>
        </w:tc>
        <w:tc>
          <w:tcPr>
            <w:tcW w:w="699" w:type="dxa"/>
            <w:vMerge w:val="continue"/>
            <w:tcBorders>
              <w:top w:val="nil"/>
              <w:left w:val="nil"/>
            </w:tcBorders>
            <w:shd w:val="clear" w:color="auto" w:fill="BDD6EE" w:themeFill="accent1" w:themeFillTint="66"/>
            <w:noWrap w:val="0"/>
            <w:vAlign w:val="center"/>
          </w:tcPr>
          <w:p>
            <w:pPr>
              <w:adjustRightInd w:val="0"/>
              <w:snapToGrid w:val="0"/>
              <w:jc w:val="left"/>
              <w:rPr>
                <w:rFonts w:hint="eastAsia" w:ascii="仿宋_GB2312" w:hAnsi="仿宋_GB2312" w:eastAsia="仿宋_GB2312" w:cs="仿宋_GB2312"/>
                <w:color w:val="auto"/>
                <w:sz w:val="24"/>
              </w:rPr>
            </w:pPr>
          </w:p>
        </w:tc>
        <w:tc>
          <w:tcPr>
            <w:tcW w:w="2520" w:type="dxa"/>
            <w:tcBorders>
              <w:left w:val="nil"/>
            </w:tcBorders>
            <w:shd w:val="clear" w:color="auto" w:fill="DEEBF6" w:themeFill="accent1" w:themeFillTint="32"/>
            <w:noWrap w:val="0"/>
            <w:vAlign w:val="center"/>
          </w:tcPr>
          <w:p>
            <w:pPr>
              <w:adjustRightInd w:val="0"/>
              <w:snapToGrid w:val="0"/>
              <w:ind w:left="-63" w:leftChars="-30" w:right="-63" w:rightChars="-3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6.属</w:t>
            </w:r>
            <w:r>
              <w:rPr>
                <w:rFonts w:hint="eastAsia" w:ascii="仿宋_GB2312" w:hAnsi="仿宋_GB2312" w:eastAsia="仿宋_GB2312" w:cs="仿宋_GB2312"/>
                <w:color w:val="auto"/>
                <w:spacing w:val="-18"/>
                <w:sz w:val="24"/>
              </w:rPr>
              <w:t>于四类过程性信息</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7</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96" w:type="dxa"/>
            <w:vMerge w:val="continue"/>
            <w:tcBorders>
              <w:top w:val="nil"/>
            </w:tcBorders>
            <w:shd w:val="clear" w:color="auto" w:fill="9CC2E5" w:themeFill="accent1" w:themeFillTint="99"/>
            <w:noWrap w:val="0"/>
            <w:vAlign w:val="center"/>
          </w:tcPr>
          <w:p>
            <w:pPr>
              <w:adjustRightInd w:val="0"/>
              <w:snapToGrid w:val="0"/>
              <w:jc w:val="left"/>
              <w:rPr>
                <w:rFonts w:hAnsi="宋体" w:cs="宋体"/>
                <w:color w:val="auto"/>
                <w:sz w:val="24"/>
              </w:rPr>
            </w:pPr>
          </w:p>
        </w:tc>
        <w:tc>
          <w:tcPr>
            <w:tcW w:w="699" w:type="dxa"/>
            <w:vMerge w:val="continue"/>
            <w:tcBorders>
              <w:top w:val="nil"/>
              <w:left w:val="nil"/>
            </w:tcBorders>
            <w:shd w:val="clear" w:color="auto" w:fill="BDD6EE" w:themeFill="accent1" w:themeFillTint="66"/>
            <w:noWrap w:val="0"/>
            <w:vAlign w:val="center"/>
          </w:tcPr>
          <w:p>
            <w:pPr>
              <w:adjustRightInd w:val="0"/>
              <w:snapToGrid w:val="0"/>
              <w:jc w:val="left"/>
              <w:rPr>
                <w:rFonts w:hint="eastAsia" w:ascii="仿宋_GB2312" w:hAnsi="仿宋_GB2312" w:eastAsia="仿宋_GB2312" w:cs="仿宋_GB2312"/>
                <w:color w:val="auto"/>
                <w:sz w:val="24"/>
              </w:rPr>
            </w:pPr>
          </w:p>
        </w:tc>
        <w:tc>
          <w:tcPr>
            <w:tcW w:w="2520" w:type="dxa"/>
            <w:tcBorders>
              <w:left w:val="nil"/>
            </w:tcBorders>
            <w:shd w:val="clear" w:color="auto" w:fill="DEEBF6" w:themeFill="accent1" w:themeFillTint="32"/>
            <w:noWrap w:val="0"/>
            <w:vAlign w:val="center"/>
          </w:tcPr>
          <w:p>
            <w:pPr>
              <w:adjustRightInd w:val="0"/>
              <w:snapToGrid w:val="0"/>
              <w:ind w:left="-63" w:leftChars="-30" w:right="-63" w:rightChars="-3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7.属</w:t>
            </w:r>
            <w:r>
              <w:rPr>
                <w:rFonts w:hint="eastAsia" w:ascii="仿宋_GB2312" w:hAnsi="仿宋_GB2312" w:eastAsia="仿宋_GB2312" w:cs="仿宋_GB2312"/>
                <w:color w:val="auto"/>
                <w:spacing w:val="-16"/>
                <w:sz w:val="24"/>
              </w:rPr>
              <w:t>于行政执法案卷</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5</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596" w:type="dxa"/>
            <w:vMerge w:val="continue"/>
            <w:tcBorders>
              <w:top w:val="nil"/>
            </w:tcBorders>
            <w:shd w:val="clear" w:color="auto" w:fill="9CC2E5" w:themeFill="accent1" w:themeFillTint="99"/>
            <w:noWrap w:val="0"/>
            <w:vAlign w:val="center"/>
          </w:tcPr>
          <w:p>
            <w:pPr>
              <w:adjustRightInd w:val="0"/>
              <w:snapToGrid w:val="0"/>
              <w:jc w:val="left"/>
              <w:rPr>
                <w:rFonts w:hAnsi="宋体" w:cs="宋体"/>
                <w:color w:val="auto"/>
                <w:sz w:val="24"/>
              </w:rPr>
            </w:pPr>
          </w:p>
        </w:tc>
        <w:tc>
          <w:tcPr>
            <w:tcW w:w="699" w:type="dxa"/>
            <w:vMerge w:val="continue"/>
            <w:tcBorders>
              <w:top w:val="nil"/>
              <w:left w:val="nil"/>
            </w:tcBorders>
            <w:shd w:val="clear" w:color="auto" w:fill="BDD6EE" w:themeFill="accent1" w:themeFillTint="66"/>
            <w:noWrap w:val="0"/>
            <w:vAlign w:val="center"/>
          </w:tcPr>
          <w:p>
            <w:pPr>
              <w:adjustRightInd w:val="0"/>
              <w:snapToGrid w:val="0"/>
              <w:jc w:val="left"/>
              <w:rPr>
                <w:rFonts w:hint="eastAsia" w:ascii="仿宋_GB2312" w:hAnsi="仿宋_GB2312" w:eastAsia="仿宋_GB2312" w:cs="仿宋_GB2312"/>
                <w:color w:val="auto"/>
                <w:sz w:val="24"/>
              </w:rPr>
            </w:pPr>
          </w:p>
        </w:tc>
        <w:tc>
          <w:tcPr>
            <w:tcW w:w="2520" w:type="dxa"/>
            <w:tcBorders>
              <w:left w:val="nil"/>
            </w:tcBorders>
            <w:shd w:val="clear" w:color="auto" w:fill="DEEBF6" w:themeFill="accent1" w:themeFillTint="32"/>
            <w:noWrap w:val="0"/>
            <w:vAlign w:val="center"/>
          </w:tcPr>
          <w:p>
            <w:pPr>
              <w:adjustRightInd w:val="0"/>
              <w:snapToGrid w:val="0"/>
              <w:ind w:left="-63" w:leftChars="-30" w:right="-63" w:rightChars="-3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8.属</w:t>
            </w:r>
            <w:r>
              <w:rPr>
                <w:rFonts w:hint="eastAsia" w:ascii="仿宋_GB2312" w:hAnsi="仿宋_GB2312" w:eastAsia="仿宋_GB2312" w:cs="仿宋_GB2312"/>
                <w:color w:val="auto"/>
                <w:spacing w:val="-16"/>
                <w:sz w:val="24"/>
              </w:rPr>
              <w:t>于行政查询事项</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6</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6" w:type="dxa"/>
            <w:vMerge w:val="continue"/>
            <w:tcBorders>
              <w:top w:val="nil"/>
            </w:tcBorders>
            <w:shd w:val="clear" w:color="auto" w:fill="9CC2E5" w:themeFill="accent1" w:themeFillTint="99"/>
            <w:noWrap w:val="0"/>
            <w:vAlign w:val="center"/>
          </w:tcPr>
          <w:p>
            <w:pPr>
              <w:adjustRightInd w:val="0"/>
              <w:snapToGrid w:val="0"/>
              <w:jc w:val="left"/>
              <w:rPr>
                <w:rFonts w:hAnsi="宋体" w:cs="宋体"/>
                <w:color w:val="auto"/>
                <w:sz w:val="24"/>
              </w:rPr>
            </w:pPr>
          </w:p>
        </w:tc>
        <w:tc>
          <w:tcPr>
            <w:tcW w:w="699" w:type="dxa"/>
            <w:vMerge w:val="restart"/>
            <w:tcBorders>
              <w:top w:val="nil"/>
              <w:left w:val="nil"/>
            </w:tcBorders>
            <w:shd w:val="clear" w:color="auto" w:fill="BDD6EE" w:themeFill="accent1" w:themeFillTint="66"/>
            <w:noWrap w:val="0"/>
            <w:vAlign w:val="center"/>
          </w:tcPr>
          <w:p>
            <w:pPr>
              <w:adjustRightInd w:val="0"/>
              <w:snapToGrid w:val="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(四)无法提供</w:t>
            </w:r>
          </w:p>
        </w:tc>
        <w:tc>
          <w:tcPr>
            <w:tcW w:w="2520" w:type="dxa"/>
            <w:tcBorders>
              <w:left w:val="nil"/>
            </w:tcBorders>
            <w:noWrap w:val="0"/>
            <w:vAlign w:val="center"/>
          </w:tcPr>
          <w:p>
            <w:pPr>
              <w:adjustRightInd w:val="0"/>
              <w:snapToGrid w:val="0"/>
              <w:ind w:left="-63" w:leftChars="-30" w:right="-63" w:rightChars="-3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1.本机关不掌握相关政府信息</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393</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31</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4</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429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6" w:type="dxa"/>
            <w:vMerge w:val="continue"/>
            <w:tcBorders>
              <w:top w:val="nil"/>
            </w:tcBorders>
            <w:shd w:val="clear" w:color="auto" w:fill="9CC2E5" w:themeFill="accent1" w:themeFillTint="99"/>
            <w:noWrap w:val="0"/>
            <w:vAlign w:val="center"/>
          </w:tcPr>
          <w:p>
            <w:pPr>
              <w:adjustRightInd w:val="0"/>
              <w:snapToGrid w:val="0"/>
              <w:jc w:val="left"/>
              <w:rPr>
                <w:rFonts w:hAnsi="宋体" w:cs="宋体"/>
                <w:color w:val="auto"/>
                <w:sz w:val="24"/>
              </w:rPr>
            </w:pPr>
          </w:p>
        </w:tc>
        <w:tc>
          <w:tcPr>
            <w:tcW w:w="699" w:type="dxa"/>
            <w:vMerge w:val="continue"/>
            <w:tcBorders>
              <w:top w:val="nil"/>
              <w:left w:val="nil"/>
            </w:tcBorders>
            <w:shd w:val="clear" w:color="auto" w:fill="BDD6EE" w:themeFill="accent1" w:themeFillTint="66"/>
            <w:noWrap w:val="0"/>
            <w:vAlign w:val="center"/>
          </w:tcPr>
          <w:p>
            <w:pPr>
              <w:adjustRightInd w:val="0"/>
              <w:snapToGrid w:val="0"/>
              <w:jc w:val="left"/>
              <w:rPr>
                <w:rFonts w:hint="eastAsia" w:ascii="仿宋_GB2312" w:hAnsi="仿宋_GB2312" w:eastAsia="仿宋_GB2312" w:cs="仿宋_GB2312"/>
                <w:color w:val="auto"/>
                <w:sz w:val="24"/>
              </w:rPr>
            </w:pPr>
          </w:p>
        </w:tc>
        <w:tc>
          <w:tcPr>
            <w:tcW w:w="2520" w:type="dxa"/>
            <w:tcBorders>
              <w:left w:val="nil"/>
            </w:tcBorders>
            <w:noWrap w:val="0"/>
            <w:vAlign w:val="center"/>
          </w:tcPr>
          <w:p>
            <w:pPr>
              <w:adjustRightInd w:val="0"/>
              <w:snapToGrid w:val="0"/>
              <w:ind w:left="-63" w:leftChars="-30" w:right="-63" w:rightChars="-3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2.没有现成信息需要另行制作</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3</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3</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6" w:type="dxa"/>
            <w:vMerge w:val="continue"/>
            <w:tcBorders>
              <w:top w:val="nil"/>
            </w:tcBorders>
            <w:shd w:val="clear" w:color="auto" w:fill="9CC2E5" w:themeFill="accent1" w:themeFillTint="99"/>
            <w:noWrap w:val="0"/>
            <w:vAlign w:val="center"/>
          </w:tcPr>
          <w:p>
            <w:pPr>
              <w:adjustRightInd w:val="0"/>
              <w:snapToGrid w:val="0"/>
              <w:jc w:val="left"/>
              <w:rPr>
                <w:rFonts w:hAnsi="宋体" w:cs="宋体"/>
                <w:color w:val="auto"/>
                <w:sz w:val="24"/>
              </w:rPr>
            </w:pPr>
          </w:p>
        </w:tc>
        <w:tc>
          <w:tcPr>
            <w:tcW w:w="699" w:type="dxa"/>
            <w:vMerge w:val="continue"/>
            <w:tcBorders>
              <w:top w:val="nil"/>
              <w:left w:val="nil"/>
            </w:tcBorders>
            <w:shd w:val="clear" w:color="auto" w:fill="BDD6EE" w:themeFill="accent1" w:themeFillTint="66"/>
            <w:noWrap w:val="0"/>
            <w:vAlign w:val="center"/>
          </w:tcPr>
          <w:p>
            <w:pPr>
              <w:adjustRightInd w:val="0"/>
              <w:snapToGrid w:val="0"/>
              <w:jc w:val="left"/>
              <w:rPr>
                <w:rFonts w:hint="eastAsia" w:ascii="仿宋_GB2312" w:hAnsi="仿宋_GB2312" w:eastAsia="仿宋_GB2312" w:cs="仿宋_GB2312"/>
                <w:color w:val="auto"/>
                <w:sz w:val="24"/>
              </w:rPr>
            </w:pPr>
          </w:p>
        </w:tc>
        <w:tc>
          <w:tcPr>
            <w:tcW w:w="2520" w:type="dxa"/>
            <w:tcBorders>
              <w:left w:val="nil"/>
            </w:tcBorders>
            <w:noWrap w:val="0"/>
            <w:vAlign w:val="center"/>
          </w:tcPr>
          <w:p>
            <w:pPr>
              <w:adjustRightInd w:val="0"/>
              <w:snapToGrid w:val="0"/>
              <w:ind w:left="-63" w:leftChars="-30" w:right="-63" w:rightChars="-3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3.补正后申请内容仍不明确</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5</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6" w:type="dxa"/>
            <w:vMerge w:val="continue"/>
            <w:tcBorders>
              <w:top w:val="nil"/>
            </w:tcBorders>
            <w:shd w:val="clear" w:color="auto" w:fill="9CC2E5" w:themeFill="accent1" w:themeFillTint="99"/>
            <w:noWrap w:val="0"/>
            <w:vAlign w:val="center"/>
          </w:tcPr>
          <w:p>
            <w:pPr>
              <w:adjustRightInd w:val="0"/>
              <w:snapToGrid w:val="0"/>
              <w:jc w:val="left"/>
              <w:rPr>
                <w:rFonts w:hAnsi="宋体" w:cs="宋体"/>
                <w:color w:val="auto"/>
                <w:sz w:val="24"/>
              </w:rPr>
            </w:pPr>
          </w:p>
        </w:tc>
        <w:tc>
          <w:tcPr>
            <w:tcW w:w="699" w:type="dxa"/>
            <w:vMerge w:val="restart"/>
            <w:tcBorders>
              <w:top w:val="nil"/>
              <w:left w:val="nil"/>
            </w:tcBorders>
            <w:shd w:val="clear" w:color="auto" w:fill="BDD6EE" w:themeFill="accent1" w:themeFillTint="66"/>
            <w:noWrap w:val="0"/>
            <w:vAlign w:val="center"/>
          </w:tcPr>
          <w:p>
            <w:pPr>
              <w:adjustRightInd w:val="0"/>
              <w:snapToGrid w:val="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(五)不予处理</w:t>
            </w:r>
          </w:p>
        </w:tc>
        <w:tc>
          <w:tcPr>
            <w:tcW w:w="2520" w:type="dxa"/>
            <w:tcBorders>
              <w:left w:val="nil"/>
            </w:tcBorders>
            <w:shd w:val="clear" w:color="auto" w:fill="DEEBF6" w:themeFill="accent1" w:themeFillTint="32"/>
            <w:noWrap w:val="0"/>
            <w:vAlign w:val="center"/>
          </w:tcPr>
          <w:p>
            <w:pPr>
              <w:adjustRightInd w:val="0"/>
              <w:snapToGrid w:val="0"/>
              <w:ind w:left="-63" w:leftChars="-30" w:right="-63" w:rightChars="-3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1.</w:t>
            </w:r>
            <w:r>
              <w:rPr>
                <w:rFonts w:hint="eastAsia" w:ascii="仿宋_GB2312" w:hAnsi="仿宋_GB2312" w:eastAsia="仿宋_GB2312" w:cs="仿宋_GB2312"/>
                <w:color w:val="auto"/>
                <w:spacing w:val="-20"/>
                <w:sz w:val="24"/>
              </w:rPr>
              <w:t>信访举报投诉类申请</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10</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6" w:type="dxa"/>
            <w:vMerge w:val="continue"/>
            <w:tcBorders>
              <w:top w:val="nil"/>
            </w:tcBorders>
            <w:shd w:val="clear" w:color="auto" w:fill="9CC2E5" w:themeFill="accent1" w:themeFillTint="99"/>
            <w:noWrap w:val="0"/>
            <w:vAlign w:val="center"/>
          </w:tcPr>
          <w:p>
            <w:pPr>
              <w:adjustRightInd w:val="0"/>
              <w:snapToGrid w:val="0"/>
              <w:jc w:val="left"/>
              <w:rPr>
                <w:rFonts w:hAnsi="宋体" w:cs="宋体"/>
                <w:color w:val="auto"/>
                <w:sz w:val="24"/>
              </w:rPr>
            </w:pPr>
          </w:p>
        </w:tc>
        <w:tc>
          <w:tcPr>
            <w:tcW w:w="699" w:type="dxa"/>
            <w:vMerge w:val="continue"/>
            <w:tcBorders>
              <w:top w:val="nil"/>
              <w:left w:val="nil"/>
            </w:tcBorders>
            <w:shd w:val="clear" w:color="auto" w:fill="BDD6EE" w:themeFill="accent1" w:themeFillTint="66"/>
            <w:noWrap w:val="0"/>
            <w:vAlign w:val="center"/>
          </w:tcPr>
          <w:p>
            <w:pPr>
              <w:adjustRightInd w:val="0"/>
              <w:snapToGrid w:val="0"/>
              <w:jc w:val="left"/>
              <w:rPr>
                <w:rFonts w:hint="eastAsia" w:ascii="仿宋_GB2312" w:hAnsi="仿宋_GB2312" w:eastAsia="仿宋_GB2312" w:cs="仿宋_GB2312"/>
                <w:color w:val="auto"/>
                <w:sz w:val="24"/>
              </w:rPr>
            </w:pPr>
          </w:p>
        </w:tc>
        <w:tc>
          <w:tcPr>
            <w:tcW w:w="2520" w:type="dxa"/>
            <w:tcBorders>
              <w:left w:val="nil"/>
            </w:tcBorders>
            <w:shd w:val="clear" w:color="auto" w:fill="DEEBF6" w:themeFill="accent1" w:themeFillTint="32"/>
            <w:noWrap w:val="0"/>
            <w:vAlign w:val="center"/>
          </w:tcPr>
          <w:p>
            <w:pPr>
              <w:adjustRightInd w:val="0"/>
              <w:snapToGrid w:val="0"/>
              <w:ind w:left="-63" w:leftChars="-30" w:right="-63" w:rightChars="-3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2.重复申请</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21</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2</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6" w:type="dxa"/>
            <w:vMerge w:val="continue"/>
            <w:tcBorders>
              <w:top w:val="nil"/>
            </w:tcBorders>
            <w:shd w:val="clear" w:color="auto" w:fill="9CC2E5" w:themeFill="accent1" w:themeFillTint="99"/>
            <w:noWrap w:val="0"/>
            <w:vAlign w:val="center"/>
          </w:tcPr>
          <w:p>
            <w:pPr>
              <w:adjustRightInd w:val="0"/>
              <w:snapToGrid w:val="0"/>
              <w:jc w:val="left"/>
              <w:rPr>
                <w:rFonts w:hAnsi="宋体" w:cs="宋体"/>
                <w:color w:val="auto"/>
                <w:sz w:val="24"/>
              </w:rPr>
            </w:pPr>
          </w:p>
        </w:tc>
        <w:tc>
          <w:tcPr>
            <w:tcW w:w="699" w:type="dxa"/>
            <w:vMerge w:val="continue"/>
            <w:tcBorders>
              <w:top w:val="nil"/>
              <w:left w:val="nil"/>
            </w:tcBorders>
            <w:shd w:val="clear" w:color="auto" w:fill="BDD6EE" w:themeFill="accent1" w:themeFillTint="66"/>
            <w:noWrap w:val="0"/>
            <w:vAlign w:val="center"/>
          </w:tcPr>
          <w:p>
            <w:pPr>
              <w:adjustRightInd w:val="0"/>
              <w:snapToGrid w:val="0"/>
              <w:jc w:val="left"/>
              <w:rPr>
                <w:rFonts w:hint="eastAsia" w:ascii="仿宋_GB2312" w:hAnsi="仿宋_GB2312" w:eastAsia="仿宋_GB2312" w:cs="仿宋_GB2312"/>
                <w:color w:val="auto"/>
                <w:sz w:val="24"/>
              </w:rPr>
            </w:pPr>
          </w:p>
        </w:tc>
        <w:tc>
          <w:tcPr>
            <w:tcW w:w="2520" w:type="dxa"/>
            <w:tcBorders>
              <w:left w:val="nil"/>
            </w:tcBorders>
            <w:shd w:val="clear" w:color="auto" w:fill="DEEBF6" w:themeFill="accent1" w:themeFillTint="32"/>
            <w:noWrap w:val="0"/>
            <w:vAlign w:val="center"/>
          </w:tcPr>
          <w:p>
            <w:pPr>
              <w:adjustRightInd w:val="0"/>
              <w:snapToGrid w:val="0"/>
              <w:ind w:left="-63" w:leftChars="-30" w:right="-63" w:rightChars="-30"/>
              <w:jc w:val="left"/>
              <w:rPr>
                <w:rFonts w:hint="eastAsia" w:ascii="仿宋_GB2312" w:hAnsi="仿宋_GB2312" w:eastAsia="仿宋_GB2312" w:cs="仿宋_GB2312"/>
                <w:color w:val="auto"/>
                <w:spacing w:val="-18"/>
                <w:sz w:val="24"/>
              </w:rPr>
            </w:pPr>
            <w:r>
              <w:rPr>
                <w:rFonts w:hint="eastAsia" w:ascii="仿宋_GB2312" w:hAnsi="仿宋_GB2312" w:eastAsia="仿宋_GB2312" w:cs="仿宋_GB2312"/>
                <w:color w:val="auto"/>
                <w:spacing w:val="-18"/>
                <w:sz w:val="24"/>
              </w:rPr>
              <w:t>3.要求提供公开出版物</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6" w:type="dxa"/>
            <w:vMerge w:val="continue"/>
            <w:tcBorders>
              <w:top w:val="nil"/>
            </w:tcBorders>
            <w:shd w:val="clear" w:color="auto" w:fill="9CC2E5" w:themeFill="accent1" w:themeFillTint="99"/>
            <w:noWrap w:val="0"/>
            <w:vAlign w:val="center"/>
          </w:tcPr>
          <w:p>
            <w:pPr>
              <w:adjustRightInd w:val="0"/>
              <w:snapToGrid w:val="0"/>
              <w:jc w:val="left"/>
              <w:rPr>
                <w:rFonts w:hAnsi="宋体" w:cs="宋体"/>
                <w:color w:val="auto"/>
                <w:sz w:val="24"/>
              </w:rPr>
            </w:pPr>
          </w:p>
        </w:tc>
        <w:tc>
          <w:tcPr>
            <w:tcW w:w="699" w:type="dxa"/>
            <w:vMerge w:val="continue"/>
            <w:tcBorders>
              <w:top w:val="nil"/>
              <w:left w:val="nil"/>
            </w:tcBorders>
            <w:shd w:val="clear" w:color="auto" w:fill="BDD6EE" w:themeFill="accent1" w:themeFillTint="66"/>
            <w:noWrap w:val="0"/>
            <w:vAlign w:val="center"/>
          </w:tcPr>
          <w:p>
            <w:pPr>
              <w:adjustRightInd w:val="0"/>
              <w:snapToGrid w:val="0"/>
              <w:jc w:val="left"/>
              <w:rPr>
                <w:rFonts w:hint="eastAsia" w:ascii="仿宋_GB2312" w:hAnsi="仿宋_GB2312" w:eastAsia="仿宋_GB2312" w:cs="仿宋_GB2312"/>
                <w:color w:val="auto"/>
                <w:sz w:val="24"/>
              </w:rPr>
            </w:pPr>
          </w:p>
        </w:tc>
        <w:tc>
          <w:tcPr>
            <w:tcW w:w="2520" w:type="dxa"/>
            <w:tcBorders>
              <w:left w:val="nil"/>
            </w:tcBorders>
            <w:shd w:val="clear" w:color="auto" w:fill="DEEBF6" w:themeFill="accent1" w:themeFillTint="32"/>
            <w:noWrap w:val="0"/>
            <w:vAlign w:val="center"/>
          </w:tcPr>
          <w:p>
            <w:pPr>
              <w:adjustRightInd w:val="0"/>
              <w:snapToGrid w:val="0"/>
              <w:ind w:left="-63" w:leftChars="-30" w:right="-63" w:rightChars="-3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4.无正当理由大量反复申请</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2</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6" w:type="dxa"/>
            <w:vMerge w:val="continue"/>
            <w:tcBorders>
              <w:top w:val="nil"/>
            </w:tcBorders>
            <w:shd w:val="clear" w:color="auto" w:fill="9CC2E5" w:themeFill="accent1" w:themeFillTint="99"/>
            <w:noWrap w:val="0"/>
            <w:vAlign w:val="center"/>
          </w:tcPr>
          <w:p>
            <w:pPr>
              <w:adjustRightInd w:val="0"/>
              <w:snapToGrid w:val="0"/>
              <w:jc w:val="left"/>
              <w:rPr>
                <w:rFonts w:hAnsi="宋体" w:cs="宋体"/>
                <w:color w:val="auto"/>
                <w:sz w:val="24"/>
              </w:rPr>
            </w:pPr>
          </w:p>
        </w:tc>
        <w:tc>
          <w:tcPr>
            <w:tcW w:w="699" w:type="dxa"/>
            <w:vMerge w:val="continue"/>
            <w:tcBorders>
              <w:top w:val="nil"/>
              <w:left w:val="nil"/>
            </w:tcBorders>
            <w:shd w:val="clear" w:color="auto" w:fill="BDD6EE" w:themeFill="accent1" w:themeFillTint="66"/>
            <w:noWrap w:val="0"/>
            <w:vAlign w:val="center"/>
          </w:tcPr>
          <w:p>
            <w:pPr>
              <w:adjustRightInd w:val="0"/>
              <w:snapToGrid w:val="0"/>
              <w:jc w:val="left"/>
              <w:rPr>
                <w:rFonts w:hint="eastAsia" w:ascii="仿宋_GB2312" w:hAnsi="仿宋_GB2312" w:eastAsia="仿宋_GB2312" w:cs="仿宋_GB2312"/>
                <w:color w:val="auto"/>
                <w:sz w:val="24"/>
              </w:rPr>
            </w:pPr>
          </w:p>
        </w:tc>
        <w:tc>
          <w:tcPr>
            <w:tcW w:w="2520" w:type="dxa"/>
            <w:tcBorders>
              <w:left w:val="nil"/>
            </w:tcBorders>
            <w:shd w:val="clear" w:color="auto" w:fill="DEEBF6" w:themeFill="accent1" w:themeFillTint="32"/>
            <w:noWrap w:val="0"/>
            <w:vAlign w:val="center"/>
          </w:tcPr>
          <w:p>
            <w:pPr>
              <w:adjustRightInd w:val="0"/>
              <w:snapToGrid w:val="0"/>
              <w:ind w:left="-63" w:leftChars="-30" w:right="-63" w:rightChars="-3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5.要</w:t>
            </w:r>
            <w:r>
              <w:rPr>
                <w:rFonts w:hint="eastAsia" w:ascii="仿宋_GB2312" w:hAnsi="仿宋_GB2312" w:eastAsia="仿宋_GB2312" w:cs="仿宋_GB2312"/>
                <w:color w:val="auto"/>
                <w:spacing w:val="-12"/>
                <w:sz w:val="24"/>
              </w:rPr>
              <w:t>求行政机关确认或重新出具已获取信息</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6" w:type="dxa"/>
            <w:vMerge w:val="continue"/>
            <w:tcBorders>
              <w:top w:val="nil"/>
            </w:tcBorders>
            <w:shd w:val="clear" w:color="auto" w:fill="9CC2E5" w:themeFill="accent1" w:themeFillTint="99"/>
            <w:noWrap w:val="0"/>
            <w:vAlign w:val="center"/>
          </w:tcPr>
          <w:p>
            <w:pPr>
              <w:adjustRightInd w:val="0"/>
              <w:snapToGrid w:val="0"/>
              <w:jc w:val="left"/>
              <w:rPr>
                <w:rFonts w:hAnsi="宋体" w:cs="宋体"/>
                <w:color w:val="auto"/>
                <w:sz w:val="24"/>
              </w:rPr>
            </w:pPr>
          </w:p>
        </w:tc>
        <w:tc>
          <w:tcPr>
            <w:tcW w:w="3219" w:type="dxa"/>
            <w:gridSpan w:val="2"/>
            <w:tcBorders>
              <w:left w:val="nil"/>
            </w:tcBorders>
            <w:shd w:val="clear" w:color="auto" w:fill="BDD6EE" w:themeFill="accent1" w:themeFillTint="66"/>
            <w:noWrap w:val="0"/>
            <w:vAlign w:val="center"/>
          </w:tcPr>
          <w:p>
            <w:pPr>
              <w:adjustRightInd w:val="0"/>
              <w:snapToGrid w:val="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（六）其他处理</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53</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2</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6</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596" w:type="dxa"/>
            <w:vMerge w:val="continue"/>
            <w:tcBorders>
              <w:top w:val="nil"/>
            </w:tcBorders>
            <w:shd w:val="clear" w:color="auto" w:fill="9CC2E5" w:themeFill="accent1" w:themeFillTint="99"/>
            <w:noWrap w:val="0"/>
            <w:vAlign w:val="center"/>
          </w:tcPr>
          <w:p>
            <w:pPr>
              <w:adjustRightInd w:val="0"/>
              <w:snapToGrid w:val="0"/>
              <w:jc w:val="left"/>
              <w:rPr>
                <w:rFonts w:hAnsi="宋体" w:cs="宋体"/>
                <w:color w:val="auto"/>
                <w:sz w:val="24"/>
              </w:rPr>
            </w:pPr>
          </w:p>
        </w:tc>
        <w:tc>
          <w:tcPr>
            <w:tcW w:w="3219" w:type="dxa"/>
            <w:gridSpan w:val="2"/>
            <w:tcBorders>
              <w:left w:val="nil"/>
            </w:tcBorders>
            <w:shd w:val="clear" w:color="auto" w:fill="BDD6EE" w:themeFill="accent1" w:themeFillTint="66"/>
            <w:noWrap w:val="0"/>
            <w:vAlign w:val="center"/>
          </w:tcPr>
          <w:p>
            <w:pPr>
              <w:adjustRightInd w:val="0"/>
              <w:snapToGrid w:val="0"/>
              <w:jc w:val="lef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（七）总计</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1343</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71</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7</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2</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15</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2</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1440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3815" w:type="dxa"/>
            <w:gridSpan w:val="3"/>
            <w:shd w:val="clear" w:color="auto" w:fill="9CC2E5" w:themeFill="accent1" w:themeFillTint="99"/>
            <w:noWrap w:val="0"/>
            <w:vAlign w:val="center"/>
          </w:tcPr>
          <w:p>
            <w:pPr>
              <w:adjustRightInd w:val="0"/>
              <w:snapToGrid w:val="0"/>
              <w:jc w:val="left"/>
              <w:rPr>
                <w:color w:val="auto"/>
                <w:sz w:val="24"/>
              </w:rPr>
            </w:pPr>
            <w:r>
              <w:rPr>
                <w:rFonts w:hint="eastAsia" w:ascii="仿宋_GB2312" w:hAnsi="仿宋_GB2312" w:eastAsia="仿宋_GB2312" w:cs="仿宋_GB2312"/>
                <w:color w:val="auto"/>
                <w:sz w:val="24"/>
              </w:rPr>
              <w:t>四、结转下年度继续办理</w:t>
            </w:r>
          </w:p>
        </w:tc>
        <w:tc>
          <w:tcPr>
            <w:tcW w:w="79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11</w:t>
            </w:r>
          </w:p>
        </w:tc>
        <w:tc>
          <w:tcPr>
            <w:tcW w:w="69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82"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10"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885"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653"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0</w:t>
            </w:r>
          </w:p>
        </w:tc>
        <w:tc>
          <w:tcPr>
            <w:tcW w:w="727" w:type="dxa"/>
            <w:tcBorders>
              <w:left w:val="nil"/>
            </w:tcBorders>
            <w:noWrap w:val="0"/>
            <w:vAlign w:val="center"/>
          </w:tcPr>
          <w:p>
            <w:pPr>
              <w:keepNext w:val="0"/>
              <w:keepLines w:val="0"/>
              <w:widowControl/>
              <w:suppressLineNumbers w:val="0"/>
              <w:jc w:val="center"/>
              <w:textAlignment w:val="center"/>
              <w:rPr>
                <w:rFonts w:hint="eastAsia" w:ascii="仿宋_GB2312" w:hAnsi="仿宋_GB2312" w:eastAsia="仿宋_GB2312" w:cs="仿宋_GB2312"/>
                <w:color w:val="auto"/>
                <w:sz w:val="24"/>
                <w:lang w:val="en-US" w:eastAsia="zh-CN"/>
              </w:rPr>
            </w:pPr>
            <w:r>
              <w:rPr>
                <w:rFonts w:hint="eastAsia" w:ascii="仿宋_GB2312" w:hAnsi="宋体" w:eastAsia="仿宋_GB2312" w:cs="仿宋_GB2312"/>
                <w:i w:val="0"/>
                <w:color w:val="000000"/>
                <w:kern w:val="0"/>
                <w:sz w:val="24"/>
                <w:szCs w:val="24"/>
                <w:u w:val="none"/>
                <w:lang w:val="en-US" w:eastAsia="zh-CN" w:bidi="ar"/>
              </w:rPr>
              <w:t>11</w:t>
            </w:r>
          </w:p>
        </w:tc>
      </w:tr>
    </w:tbl>
    <w:p>
      <w:pPr>
        <w:pStyle w:val="6"/>
        <w:spacing w:line="560" w:lineRule="exact"/>
        <w:ind w:firstLine="640" w:firstLineChars="200"/>
        <w:jc w:val="both"/>
        <w:rPr>
          <w:rFonts w:hint="eastAsia" w:ascii="黑体" w:hAnsi="黑体" w:eastAsia="黑体" w:cs="黑体"/>
          <w:bCs/>
          <w:color w:val="auto"/>
          <w:sz w:val="32"/>
          <w:szCs w:val="32"/>
        </w:rPr>
      </w:pPr>
      <w:r>
        <w:rPr>
          <w:rFonts w:hint="eastAsia" w:ascii="黑体" w:hAnsi="黑体" w:eastAsia="黑体" w:cs="黑体"/>
          <w:bCs/>
          <w:color w:val="auto"/>
          <w:sz w:val="32"/>
          <w:szCs w:val="32"/>
          <w:lang w:eastAsia="zh-CN"/>
        </w:rPr>
        <w:drawing>
          <wp:anchor distT="0" distB="0" distL="114300" distR="114300" simplePos="0" relativeHeight="251668480" behindDoc="1" locked="0" layoutInCell="1" allowOverlap="1">
            <wp:simplePos x="0" y="0"/>
            <wp:positionH relativeFrom="column">
              <wp:posOffset>1438275</wp:posOffset>
            </wp:positionH>
            <wp:positionV relativeFrom="paragraph">
              <wp:posOffset>236220</wp:posOffset>
            </wp:positionV>
            <wp:extent cx="3336290" cy="1979930"/>
            <wp:effectExtent l="0" t="0" r="54610" b="58420"/>
            <wp:wrapTight wrapText="bothSides">
              <wp:wrapPolygon>
                <wp:start x="0" y="0"/>
                <wp:lineTo x="0" y="21406"/>
                <wp:lineTo x="21460" y="21406"/>
                <wp:lineTo x="21460" y="0"/>
                <wp:lineTo x="0" y="0"/>
              </wp:wrapPolygon>
            </wp:wrapTight>
            <wp:docPr id="12" name="图片 1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片1"/>
                    <pic:cNvPicPr>
                      <a:picLocks noChangeAspect="1"/>
                    </pic:cNvPicPr>
                  </pic:nvPicPr>
                  <pic:blipFill>
                    <a:blip r:embed="rId16"/>
                    <a:stretch>
                      <a:fillRect/>
                    </a:stretch>
                  </pic:blipFill>
                  <pic:spPr>
                    <a:xfrm>
                      <a:off x="0" y="0"/>
                      <a:ext cx="3336290" cy="1979930"/>
                    </a:xfrm>
                    <a:prstGeom prst="rect">
                      <a:avLst/>
                    </a:prstGeom>
                  </pic:spPr>
                </pic:pic>
              </a:graphicData>
            </a:graphic>
          </wp:anchor>
        </w:drawing>
      </w:r>
    </w:p>
    <w:p>
      <w:pPr>
        <w:pStyle w:val="6"/>
        <w:spacing w:line="560" w:lineRule="exact"/>
        <w:ind w:firstLine="640" w:firstLineChars="200"/>
        <w:jc w:val="both"/>
        <w:rPr>
          <w:rFonts w:hint="eastAsia" w:ascii="黑体" w:hAnsi="黑体" w:eastAsia="黑体" w:cs="黑体"/>
          <w:bCs/>
          <w:color w:val="auto"/>
          <w:sz w:val="32"/>
          <w:szCs w:val="32"/>
          <w:lang w:eastAsia="zh-CN"/>
        </w:rPr>
      </w:pPr>
    </w:p>
    <w:p>
      <w:pPr>
        <w:pStyle w:val="6"/>
        <w:spacing w:line="560" w:lineRule="exact"/>
        <w:ind w:firstLine="640" w:firstLineChars="200"/>
        <w:jc w:val="both"/>
        <w:rPr>
          <w:rFonts w:hint="eastAsia" w:ascii="黑体" w:hAnsi="黑体" w:eastAsia="黑体" w:cs="黑体"/>
          <w:bCs/>
          <w:color w:val="auto"/>
          <w:sz w:val="32"/>
          <w:szCs w:val="32"/>
          <w:lang w:eastAsia="zh-CN"/>
        </w:rPr>
      </w:pPr>
    </w:p>
    <w:p>
      <w:pPr>
        <w:pStyle w:val="6"/>
        <w:spacing w:line="560" w:lineRule="exact"/>
        <w:ind w:firstLine="640" w:firstLineChars="200"/>
        <w:jc w:val="both"/>
        <w:rPr>
          <w:rFonts w:hint="eastAsia" w:ascii="黑体" w:hAnsi="黑体" w:eastAsia="黑体" w:cs="黑体"/>
          <w:bCs/>
          <w:color w:val="auto"/>
          <w:sz w:val="32"/>
          <w:szCs w:val="32"/>
          <w:lang w:eastAsia="zh-CN"/>
        </w:rPr>
      </w:pPr>
    </w:p>
    <w:p>
      <w:pPr>
        <w:pStyle w:val="6"/>
        <w:spacing w:line="560" w:lineRule="exact"/>
        <w:ind w:firstLine="640" w:firstLineChars="200"/>
        <w:jc w:val="both"/>
        <w:rPr>
          <w:rFonts w:ascii="黑体" w:hAnsi="黑体" w:eastAsia="黑体" w:cs="黑体"/>
          <w:bCs/>
          <w:color w:val="auto"/>
          <w:sz w:val="32"/>
          <w:szCs w:val="32"/>
        </w:rPr>
      </w:pPr>
      <w:r>
        <w:rPr>
          <w:rFonts w:hint="eastAsia" w:ascii="黑体" w:hAnsi="黑体" w:eastAsia="黑体" w:cs="黑体"/>
          <w:bCs/>
          <w:color w:val="auto"/>
          <w:sz w:val="32"/>
          <w:szCs w:val="32"/>
        </w:rPr>
        <w:t>四、政府信息公开行政复议</w:t>
      </w:r>
      <w:r>
        <w:rPr>
          <w:rFonts w:hint="eastAsia" w:ascii="黑体" w:hAnsi="黑体" w:eastAsia="黑体" w:cs="黑体"/>
          <w:bCs/>
          <w:color w:val="auto"/>
          <w:sz w:val="32"/>
          <w:szCs w:val="32"/>
          <w:lang w:eastAsia="zh-CN"/>
        </w:rPr>
        <w:t>和</w:t>
      </w:r>
      <w:r>
        <w:rPr>
          <w:rFonts w:hint="eastAsia" w:ascii="黑体" w:hAnsi="黑体" w:eastAsia="黑体" w:cs="黑体"/>
          <w:bCs/>
          <w:color w:val="auto"/>
          <w:sz w:val="32"/>
          <w:szCs w:val="32"/>
        </w:rPr>
        <w:t>行政诉讼情况</w:t>
      </w:r>
    </w:p>
    <w:tbl>
      <w:tblPr>
        <w:tblStyle w:val="9"/>
        <w:tblW w:w="9060"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4"/>
        <w:gridCol w:w="604"/>
        <w:gridCol w:w="604"/>
        <w:gridCol w:w="604"/>
        <w:gridCol w:w="658"/>
        <w:gridCol w:w="549"/>
        <w:gridCol w:w="603"/>
        <w:gridCol w:w="603"/>
        <w:gridCol w:w="603"/>
        <w:gridCol w:w="607"/>
        <w:gridCol w:w="603"/>
        <w:gridCol w:w="603"/>
        <w:gridCol w:w="603"/>
        <w:gridCol w:w="605"/>
        <w:gridCol w:w="6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4" w:hRule="atLeast"/>
          <w:jc w:val="center"/>
        </w:trPr>
        <w:tc>
          <w:tcPr>
            <w:tcW w:w="3074" w:type="dxa"/>
            <w:gridSpan w:val="5"/>
            <w:shd w:val="clear" w:color="auto" w:fill="9CC2E5" w:themeFill="accent1" w:themeFillTint="99"/>
            <w:noWrap w:val="0"/>
            <w:vAlign w:val="center"/>
          </w:tcPr>
          <w:p>
            <w:pPr>
              <w:adjustRightInd w:val="0"/>
              <w:snapToGrid w:val="0"/>
              <w:jc w:val="center"/>
              <w:rPr>
                <w:rFonts w:eastAsia="黑体"/>
                <w:color w:val="auto"/>
                <w:sz w:val="24"/>
              </w:rPr>
            </w:pPr>
            <w:r>
              <w:rPr>
                <w:rFonts w:hint="eastAsia" w:eastAsia="黑体"/>
                <w:color w:val="auto"/>
                <w:sz w:val="24"/>
              </w:rPr>
              <w:t>行政复议</w:t>
            </w:r>
          </w:p>
        </w:tc>
        <w:tc>
          <w:tcPr>
            <w:tcW w:w="5986" w:type="dxa"/>
            <w:gridSpan w:val="10"/>
            <w:tcBorders>
              <w:left w:val="nil"/>
            </w:tcBorders>
            <w:shd w:val="clear" w:color="auto" w:fill="9CC2E5" w:themeFill="accent1" w:themeFillTint="99"/>
            <w:noWrap w:val="0"/>
            <w:vAlign w:val="center"/>
          </w:tcPr>
          <w:p>
            <w:pPr>
              <w:adjustRightInd w:val="0"/>
              <w:snapToGrid w:val="0"/>
              <w:jc w:val="center"/>
              <w:rPr>
                <w:rFonts w:eastAsia="黑体"/>
                <w:color w:val="auto"/>
                <w:sz w:val="24"/>
              </w:rPr>
            </w:pPr>
            <w:r>
              <w:rPr>
                <w:rFonts w:hint="eastAsia" w:eastAsia="黑体"/>
                <w:color w:val="auto"/>
                <w:sz w:val="24"/>
              </w:rPr>
              <w:t>行政诉讼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4" w:hRule="atLeast"/>
          <w:jc w:val="center"/>
        </w:trPr>
        <w:tc>
          <w:tcPr>
            <w:tcW w:w="604" w:type="dxa"/>
            <w:vMerge w:val="restart"/>
            <w:tcBorders>
              <w:top w:val="nil"/>
            </w:tcBorders>
            <w:shd w:val="clear" w:color="auto" w:fill="BDD6EE" w:themeFill="accent1" w:themeFillTint="66"/>
            <w:noWrap w:val="0"/>
            <w:vAlign w:val="center"/>
          </w:tcPr>
          <w:p>
            <w:pPr>
              <w:adjustRightInd w:val="0"/>
              <w:snapToGrid w:val="0"/>
              <w:jc w:val="center"/>
              <w:rPr>
                <w:rFonts w:eastAsia="黑体"/>
                <w:color w:val="auto"/>
                <w:sz w:val="24"/>
              </w:rPr>
            </w:pPr>
            <w:r>
              <w:rPr>
                <w:rFonts w:hint="eastAsia" w:eastAsia="黑体"/>
                <w:color w:val="auto"/>
                <w:sz w:val="24"/>
              </w:rPr>
              <w:t>结果维持</w:t>
            </w:r>
          </w:p>
        </w:tc>
        <w:tc>
          <w:tcPr>
            <w:tcW w:w="604" w:type="dxa"/>
            <w:vMerge w:val="restart"/>
            <w:tcBorders>
              <w:top w:val="nil"/>
              <w:left w:val="nil"/>
            </w:tcBorders>
            <w:shd w:val="clear" w:color="auto" w:fill="BDD6EE" w:themeFill="accent1" w:themeFillTint="66"/>
            <w:noWrap w:val="0"/>
            <w:vAlign w:val="center"/>
          </w:tcPr>
          <w:p>
            <w:pPr>
              <w:adjustRightInd w:val="0"/>
              <w:snapToGrid w:val="0"/>
              <w:jc w:val="center"/>
              <w:rPr>
                <w:rFonts w:eastAsia="黑体"/>
                <w:color w:val="auto"/>
                <w:sz w:val="24"/>
              </w:rPr>
            </w:pPr>
            <w:r>
              <w:rPr>
                <w:rFonts w:hint="eastAsia" w:eastAsia="黑体"/>
                <w:color w:val="auto"/>
                <w:sz w:val="24"/>
              </w:rPr>
              <w:t>结果纠正</w:t>
            </w:r>
          </w:p>
        </w:tc>
        <w:tc>
          <w:tcPr>
            <w:tcW w:w="604" w:type="dxa"/>
            <w:vMerge w:val="restart"/>
            <w:tcBorders>
              <w:left w:val="nil"/>
            </w:tcBorders>
            <w:shd w:val="clear" w:color="auto" w:fill="BDD6EE" w:themeFill="accent1" w:themeFillTint="66"/>
            <w:noWrap w:val="0"/>
            <w:vAlign w:val="center"/>
          </w:tcPr>
          <w:p>
            <w:pPr>
              <w:adjustRightInd w:val="0"/>
              <w:snapToGrid w:val="0"/>
              <w:jc w:val="center"/>
              <w:rPr>
                <w:rFonts w:eastAsia="黑体"/>
                <w:color w:val="auto"/>
                <w:sz w:val="24"/>
              </w:rPr>
            </w:pPr>
            <w:r>
              <w:rPr>
                <w:rFonts w:hint="eastAsia" w:eastAsia="黑体"/>
                <w:color w:val="auto"/>
                <w:sz w:val="24"/>
              </w:rPr>
              <w:t>其他结果</w:t>
            </w:r>
          </w:p>
        </w:tc>
        <w:tc>
          <w:tcPr>
            <w:tcW w:w="604" w:type="dxa"/>
            <w:vMerge w:val="restart"/>
            <w:tcBorders>
              <w:left w:val="nil"/>
            </w:tcBorders>
            <w:shd w:val="clear" w:color="auto" w:fill="BDD6EE" w:themeFill="accent1" w:themeFillTint="66"/>
            <w:noWrap w:val="0"/>
            <w:vAlign w:val="center"/>
          </w:tcPr>
          <w:p>
            <w:pPr>
              <w:adjustRightInd w:val="0"/>
              <w:snapToGrid w:val="0"/>
              <w:jc w:val="center"/>
              <w:rPr>
                <w:rFonts w:eastAsia="黑体"/>
                <w:color w:val="auto"/>
                <w:sz w:val="24"/>
              </w:rPr>
            </w:pPr>
            <w:r>
              <w:rPr>
                <w:rFonts w:hint="eastAsia" w:eastAsia="黑体"/>
                <w:color w:val="auto"/>
                <w:sz w:val="24"/>
              </w:rPr>
              <w:t>尚未审结</w:t>
            </w:r>
          </w:p>
        </w:tc>
        <w:tc>
          <w:tcPr>
            <w:tcW w:w="658" w:type="dxa"/>
            <w:vMerge w:val="restart"/>
            <w:tcBorders>
              <w:left w:val="nil"/>
            </w:tcBorders>
            <w:shd w:val="clear" w:color="auto" w:fill="BDD6EE" w:themeFill="accent1" w:themeFillTint="66"/>
            <w:noWrap w:val="0"/>
            <w:vAlign w:val="center"/>
          </w:tcPr>
          <w:p>
            <w:pPr>
              <w:adjustRightInd w:val="0"/>
              <w:snapToGrid w:val="0"/>
              <w:jc w:val="center"/>
              <w:rPr>
                <w:rFonts w:eastAsia="黑体"/>
                <w:color w:val="auto"/>
                <w:sz w:val="24"/>
              </w:rPr>
            </w:pPr>
            <w:r>
              <w:rPr>
                <w:rFonts w:hint="eastAsia" w:eastAsia="黑体"/>
                <w:color w:val="auto"/>
                <w:sz w:val="24"/>
              </w:rPr>
              <w:t>总计</w:t>
            </w:r>
          </w:p>
        </w:tc>
        <w:tc>
          <w:tcPr>
            <w:tcW w:w="2965" w:type="dxa"/>
            <w:gridSpan w:val="5"/>
            <w:tcBorders>
              <w:left w:val="nil"/>
            </w:tcBorders>
            <w:shd w:val="clear" w:color="auto" w:fill="BDD6EE" w:themeFill="accent1" w:themeFillTint="66"/>
            <w:noWrap w:val="0"/>
            <w:vAlign w:val="center"/>
          </w:tcPr>
          <w:p>
            <w:pPr>
              <w:adjustRightInd w:val="0"/>
              <w:snapToGrid w:val="0"/>
              <w:jc w:val="center"/>
              <w:rPr>
                <w:rFonts w:eastAsia="黑体"/>
                <w:color w:val="auto"/>
                <w:sz w:val="24"/>
              </w:rPr>
            </w:pPr>
            <w:r>
              <w:rPr>
                <w:rFonts w:hint="eastAsia" w:eastAsia="黑体"/>
                <w:color w:val="auto"/>
                <w:sz w:val="24"/>
              </w:rPr>
              <w:t>未经复议直接起诉</w:t>
            </w:r>
          </w:p>
        </w:tc>
        <w:tc>
          <w:tcPr>
            <w:tcW w:w="3021" w:type="dxa"/>
            <w:gridSpan w:val="5"/>
            <w:tcBorders>
              <w:left w:val="nil"/>
            </w:tcBorders>
            <w:shd w:val="clear" w:color="auto" w:fill="BDD6EE" w:themeFill="accent1" w:themeFillTint="66"/>
            <w:noWrap w:val="0"/>
            <w:vAlign w:val="center"/>
          </w:tcPr>
          <w:p>
            <w:pPr>
              <w:adjustRightInd w:val="0"/>
              <w:snapToGrid w:val="0"/>
              <w:jc w:val="center"/>
              <w:rPr>
                <w:rFonts w:eastAsia="黑体"/>
                <w:color w:val="auto"/>
                <w:sz w:val="24"/>
              </w:rPr>
            </w:pPr>
            <w:r>
              <w:rPr>
                <w:rFonts w:hint="eastAsia" w:eastAsia="黑体"/>
                <w:color w:val="auto"/>
                <w:sz w:val="24"/>
              </w:rPr>
              <w:t>复议后起诉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04" w:type="dxa"/>
            <w:vMerge w:val="continue"/>
            <w:tcBorders>
              <w:top w:val="nil"/>
            </w:tcBorders>
            <w:noWrap w:val="0"/>
            <w:vAlign w:val="center"/>
          </w:tcPr>
          <w:p>
            <w:pPr>
              <w:adjustRightInd w:val="0"/>
              <w:snapToGrid w:val="0"/>
              <w:jc w:val="left"/>
              <w:rPr>
                <w:rFonts w:ascii="宋体" w:hAnsi="宋体" w:eastAsia="黑体" w:cs="宋体"/>
                <w:color w:val="auto"/>
                <w:sz w:val="24"/>
              </w:rPr>
            </w:pPr>
          </w:p>
        </w:tc>
        <w:tc>
          <w:tcPr>
            <w:tcW w:w="604" w:type="dxa"/>
            <w:vMerge w:val="continue"/>
            <w:tcBorders>
              <w:top w:val="nil"/>
              <w:left w:val="nil"/>
            </w:tcBorders>
            <w:noWrap w:val="0"/>
            <w:vAlign w:val="center"/>
          </w:tcPr>
          <w:p>
            <w:pPr>
              <w:adjustRightInd w:val="0"/>
              <w:snapToGrid w:val="0"/>
              <w:jc w:val="left"/>
              <w:rPr>
                <w:rFonts w:ascii="宋体" w:hAnsi="宋体" w:eastAsia="黑体" w:cs="宋体"/>
                <w:color w:val="auto"/>
                <w:sz w:val="24"/>
              </w:rPr>
            </w:pPr>
          </w:p>
        </w:tc>
        <w:tc>
          <w:tcPr>
            <w:tcW w:w="604" w:type="dxa"/>
            <w:vMerge w:val="continue"/>
            <w:tcBorders>
              <w:left w:val="nil"/>
            </w:tcBorders>
            <w:noWrap w:val="0"/>
            <w:vAlign w:val="center"/>
          </w:tcPr>
          <w:p>
            <w:pPr>
              <w:adjustRightInd w:val="0"/>
              <w:snapToGrid w:val="0"/>
              <w:jc w:val="left"/>
              <w:rPr>
                <w:rFonts w:ascii="宋体" w:hAnsi="宋体" w:eastAsia="黑体" w:cs="宋体"/>
                <w:color w:val="auto"/>
                <w:sz w:val="24"/>
              </w:rPr>
            </w:pPr>
          </w:p>
        </w:tc>
        <w:tc>
          <w:tcPr>
            <w:tcW w:w="604" w:type="dxa"/>
            <w:vMerge w:val="continue"/>
            <w:tcBorders>
              <w:left w:val="nil"/>
            </w:tcBorders>
            <w:noWrap w:val="0"/>
            <w:vAlign w:val="center"/>
          </w:tcPr>
          <w:p>
            <w:pPr>
              <w:adjustRightInd w:val="0"/>
              <w:snapToGrid w:val="0"/>
              <w:jc w:val="left"/>
              <w:rPr>
                <w:rFonts w:ascii="宋体" w:hAnsi="宋体" w:eastAsia="黑体" w:cs="宋体"/>
                <w:color w:val="auto"/>
                <w:sz w:val="24"/>
              </w:rPr>
            </w:pPr>
          </w:p>
        </w:tc>
        <w:tc>
          <w:tcPr>
            <w:tcW w:w="658" w:type="dxa"/>
            <w:vMerge w:val="continue"/>
            <w:tcBorders>
              <w:left w:val="nil"/>
            </w:tcBorders>
            <w:noWrap w:val="0"/>
            <w:vAlign w:val="center"/>
          </w:tcPr>
          <w:p>
            <w:pPr>
              <w:adjustRightInd w:val="0"/>
              <w:snapToGrid w:val="0"/>
              <w:jc w:val="left"/>
              <w:rPr>
                <w:rFonts w:ascii="宋体" w:hAnsi="宋体" w:eastAsia="黑体" w:cs="宋体"/>
                <w:color w:val="auto"/>
                <w:sz w:val="24"/>
              </w:rPr>
            </w:pPr>
          </w:p>
        </w:tc>
        <w:tc>
          <w:tcPr>
            <w:tcW w:w="549" w:type="dxa"/>
            <w:tcBorders>
              <w:left w:val="nil"/>
            </w:tcBorders>
            <w:noWrap w:val="0"/>
            <w:vAlign w:val="center"/>
          </w:tcPr>
          <w:p>
            <w:pPr>
              <w:adjustRightInd w:val="0"/>
              <w:snapToGrid w:val="0"/>
              <w:jc w:val="center"/>
              <w:rPr>
                <w:rFonts w:eastAsia="黑体"/>
                <w:color w:val="auto"/>
                <w:sz w:val="24"/>
              </w:rPr>
            </w:pPr>
            <w:r>
              <w:rPr>
                <w:rFonts w:hint="eastAsia" w:eastAsia="黑体"/>
                <w:color w:val="auto"/>
                <w:sz w:val="24"/>
              </w:rPr>
              <w:t>结果维持</w:t>
            </w:r>
          </w:p>
        </w:tc>
        <w:tc>
          <w:tcPr>
            <w:tcW w:w="603" w:type="dxa"/>
            <w:tcBorders>
              <w:left w:val="nil"/>
            </w:tcBorders>
            <w:noWrap w:val="0"/>
            <w:vAlign w:val="center"/>
          </w:tcPr>
          <w:p>
            <w:pPr>
              <w:adjustRightInd w:val="0"/>
              <w:snapToGrid w:val="0"/>
              <w:jc w:val="center"/>
              <w:rPr>
                <w:rFonts w:eastAsia="黑体"/>
                <w:color w:val="auto"/>
                <w:sz w:val="24"/>
              </w:rPr>
            </w:pPr>
            <w:r>
              <w:rPr>
                <w:rFonts w:hint="eastAsia" w:eastAsia="黑体"/>
                <w:color w:val="auto"/>
                <w:sz w:val="24"/>
              </w:rPr>
              <w:t>结果纠正</w:t>
            </w:r>
          </w:p>
        </w:tc>
        <w:tc>
          <w:tcPr>
            <w:tcW w:w="603" w:type="dxa"/>
            <w:tcBorders>
              <w:left w:val="nil"/>
            </w:tcBorders>
            <w:noWrap w:val="0"/>
            <w:vAlign w:val="center"/>
          </w:tcPr>
          <w:p>
            <w:pPr>
              <w:adjustRightInd w:val="0"/>
              <w:snapToGrid w:val="0"/>
              <w:jc w:val="center"/>
              <w:rPr>
                <w:rFonts w:eastAsia="黑体"/>
                <w:color w:val="auto"/>
                <w:sz w:val="24"/>
              </w:rPr>
            </w:pPr>
            <w:r>
              <w:rPr>
                <w:rFonts w:hint="eastAsia" w:eastAsia="黑体"/>
                <w:color w:val="auto"/>
                <w:sz w:val="24"/>
              </w:rPr>
              <w:t>其他结果</w:t>
            </w:r>
          </w:p>
        </w:tc>
        <w:tc>
          <w:tcPr>
            <w:tcW w:w="603" w:type="dxa"/>
            <w:tcBorders>
              <w:left w:val="nil"/>
            </w:tcBorders>
            <w:noWrap w:val="0"/>
            <w:vAlign w:val="center"/>
          </w:tcPr>
          <w:p>
            <w:pPr>
              <w:adjustRightInd w:val="0"/>
              <w:snapToGrid w:val="0"/>
              <w:jc w:val="center"/>
              <w:rPr>
                <w:rFonts w:eastAsia="黑体"/>
                <w:color w:val="auto"/>
                <w:sz w:val="24"/>
              </w:rPr>
            </w:pPr>
            <w:r>
              <w:rPr>
                <w:rFonts w:hint="eastAsia" w:eastAsia="黑体"/>
                <w:color w:val="auto"/>
                <w:sz w:val="24"/>
              </w:rPr>
              <w:t>尚未审结</w:t>
            </w:r>
          </w:p>
        </w:tc>
        <w:tc>
          <w:tcPr>
            <w:tcW w:w="607" w:type="dxa"/>
            <w:tcBorders>
              <w:left w:val="nil"/>
            </w:tcBorders>
            <w:noWrap w:val="0"/>
            <w:vAlign w:val="center"/>
          </w:tcPr>
          <w:p>
            <w:pPr>
              <w:adjustRightInd w:val="0"/>
              <w:snapToGrid w:val="0"/>
              <w:jc w:val="center"/>
              <w:rPr>
                <w:rFonts w:eastAsia="黑体"/>
                <w:color w:val="auto"/>
                <w:sz w:val="24"/>
              </w:rPr>
            </w:pPr>
            <w:r>
              <w:rPr>
                <w:rFonts w:hint="eastAsia" w:ascii="宋体" w:hAnsi="宋体" w:eastAsia="黑体" w:cs="宋体"/>
                <w:color w:val="auto"/>
                <w:kern w:val="0"/>
                <w:sz w:val="24"/>
              </w:rPr>
              <w:t>总计</w:t>
            </w:r>
          </w:p>
        </w:tc>
        <w:tc>
          <w:tcPr>
            <w:tcW w:w="603" w:type="dxa"/>
            <w:tcBorders>
              <w:left w:val="nil"/>
            </w:tcBorders>
            <w:shd w:val="clear" w:color="auto" w:fill="DEEBF6" w:themeFill="accent1" w:themeFillTint="32"/>
            <w:noWrap w:val="0"/>
            <w:vAlign w:val="center"/>
          </w:tcPr>
          <w:p>
            <w:pPr>
              <w:adjustRightInd w:val="0"/>
              <w:snapToGrid w:val="0"/>
              <w:jc w:val="center"/>
              <w:rPr>
                <w:rFonts w:eastAsia="黑体"/>
                <w:color w:val="auto"/>
                <w:sz w:val="24"/>
              </w:rPr>
            </w:pPr>
            <w:r>
              <w:rPr>
                <w:rFonts w:hint="eastAsia" w:eastAsia="黑体"/>
                <w:color w:val="auto"/>
                <w:sz w:val="24"/>
              </w:rPr>
              <w:t>结果维持</w:t>
            </w:r>
          </w:p>
        </w:tc>
        <w:tc>
          <w:tcPr>
            <w:tcW w:w="603" w:type="dxa"/>
            <w:tcBorders>
              <w:left w:val="nil"/>
            </w:tcBorders>
            <w:shd w:val="clear" w:color="auto" w:fill="DEEBF6" w:themeFill="accent1" w:themeFillTint="32"/>
            <w:noWrap w:val="0"/>
            <w:vAlign w:val="center"/>
          </w:tcPr>
          <w:p>
            <w:pPr>
              <w:adjustRightInd w:val="0"/>
              <w:snapToGrid w:val="0"/>
              <w:jc w:val="center"/>
              <w:rPr>
                <w:rFonts w:eastAsia="黑体"/>
                <w:color w:val="auto"/>
                <w:sz w:val="24"/>
              </w:rPr>
            </w:pPr>
            <w:r>
              <w:rPr>
                <w:rFonts w:hint="eastAsia" w:eastAsia="黑体"/>
                <w:color w:val="auto"/>
                <w:sz w:val="24"/>
              </w:rPr>
              <w:t>结果纠正</w:t>
            </w:r>
          </w:p>
        </w:tc>
        <w:tc>
          <w:tcPr>
            <w:tcW w:w="603" w:type="dxa"/>
            <w:tcBorders>
              <w:left w:val="nil"/>
            </w:tcBorders>
            <w:shd w:val="clear" w:color="auto" w:fill="DEEBF6" w:themeFill="accent1" w:themeFillTint="32"/>
            <w:noWrap w:val="0"/>
            <w:vAlign w:val="center"/>
          </w:tcPr>
          <w:p>
            <w:pPr>
              <w:adjustRightInd w:val="0"/>
              <w:snapToGrid w:val="0"/>
              <w:jc w:val="center"/>
              <w:rPr>
                <w:rFonts w:eastAsia="黑体"/>
                <w:color w:val="auto"/>
                <w:sz w:val="24"/>
              </w:rPr>
            </w:pPr>
            <w:r>
              <w:rPr>
                <w:rFonts w:hint="eastAsia" w:ascii="宋体" w:hAnsi="宋体" w:eastAsia="黑体" w:cs="宋体"/>
                <w:color w:val="auto"/>
                <w:kern w:val="0"/>
                <w:sz w:val="24"/>
              </w:rPr>
              <w:t>其他结果</w:t>
            </w:r>
          </w:p>
        </w:tc>
        <w:tc>
          <w:tcPr>
            <w:tcW w:w="605" w:type="dxa"/>
            <w:tcBorders>
              <w:left w:val="nil"/>
            </w:tcBorders>
            <w:shd w:val="clear" w:color="auto" w:fill="DEEBF6" w:themeFill="accent1" w:themeFillTint="32"/>
            <w:noWrap w:val="0"/>
            <w:vAlign w:val="center"/>
          </w:tcPr>
          <w:p>
            <w:pPr>
              <w:adjustRightInd w:val="0"/>
              <w:snapToGrid w:val="0"/>
              <w:jc w:val="center"/>
              <w:rPr>
                <w:rFonts w:eastAsia="黑体"/>
                <w:color w:val="auto"/>
                <w:sz w:val="24"/>
              </w:rPr>
            </w:pPr>
            <w:r>
              <w:rPr>
                <w:rFonts w:hint="eastAsia" w:eastAsia="黑体"/>
                <w:color w:val="auto"/>
                <w:sz w:val="24"/>
              </w:rPr>
              <w:t>尚未审结</w:t>
            </w:r>
          </w:p>
        </w:tc>
        <w:tc>
          <w:tcPr>
            <w:tcW w:w="607" w:type="dxa"/>
            <w:tcBorders>
              <w:left w:val="nil"/>
            </w:tcBorders>
            <w:shd w:val="clear" w:color="auto" w:fill="DEEBF6" w:themeFill="accent1" w:themeFillTint="32"/>
            <w:noWrap w:val="0"/>
            <w:vAlign w:val="center"/>
          </w:tcPr>
          <w:p>
            <w:pPr>
              <w:adjustRightInd w:val="0"/>
              <w:snapToGrid w:val="0"/>
              <w:jc w:val="center"/>
              <w:rPr>
                <w:rFonts w:eastAsia="黑体"/>
                <w:color w:val="auto"/>
                <w:sz w:val="24"/>
              </w:rPr>
            </w:pPr>
            <w:r>
              <w:rPr>
                <w:rFonts w:hint="eastAsia" w:ascii="宋体" w:hAnsi="宋体" w:eastAsia="黑体" w:cs="宋体"/>
                <w:color w:val="auto"/>
                <w:kern w:val="0"/>
                <w:sz w:val="24"/>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8" w:hRule="atLeast"/>
          <w:jc w:val="center"/>
        </w:trPr>
        <w:tc>
          <w:tcPr>
            <w:tcW w:w="604" w:type="dxa"/>
            <w:noWrap w:val="0"/>
            <w:vAlign w:val="center"/>
          </w:tcPr>
          <w:p>
            <w:pPr>
              <w:keepNext w:val="0"/>
              <w:keepLines w:val="0"/>
              <w:widowControl/>
              <w:suppressLineNumbers w:val="0"/>
              <w:jc w:val="center"/>
              <w:textAlignment w:val="center"/>
              <w:rPr>
                <w:rFonts w:hint="eastAsia" w:eastAsiaTheme="minorEastAsia"/>
                <w:color w:val="auto"/>
                <w:sz w:val="24"/>
                <w:lang w:val="en-US" w:eastAsia="zh-CN"/>
              </w:rPr>
            </w:pPr>
            <w:r>
              <w:rPr>
                <w:rFonts w:hint="eastAsia" w:ascii="仿宋_GB2312" w:hAnsi="仿宋_GB2312" w:eastAsia="仿宋_GB2312" w:cs="仿宋_GB2312"/>
                <w:i w:val="0"/>
                <w:color w:val="auto"/>
                <w:sz w:val="24"/>
                <w:szCs w:val="24"/>
                <w:u w:val="none"/>
                <w:lang w:val="en-US" w:eastAsia="zh-CN"/>
              </w:rPr>
              <w:t>16</w:t>
            </w:r>
          </w:p>
        </w:tc>
        <w:tc>
          <w:tcPr>
            <w:tcW w:w="604" w:type="dxa"/>
            <w:tcBorders>
              <w:left w:val="nil"/>
            </w:tcBorders>
            <w:noWrap w:val="0"/>
            <w:vAlign w:val="center"/>
          </w:tcPr>
          <w:p>
            <w:pPr>
              <w:keepNext w:val="0"/>
              <w:keepLines w:val="0"/>
              <w:widowControl/>
              <w:suppressLineNumbers w:val="0"/>
              <w:jc w:val="center"/>
              <w:textAlignment w:val="center"/>
              <w:rPr>
                <w:rFonts w:hint="eastAsia" w:eastAsiaTheme="minorEastAsia"/>
                <w:color w:val="auto"/>
                <w:sz w:val="24"/>
                <w:lang w:val="en-US" w:eastAsia="zh-CN"/>
              </w:rPr>
            </w:pPr>
            <w:r>
              <w:rPr>
                <w:rFonts w:hint="eastAsia" w:ascii="仿宋_GB2312" w:hAnsi="仿宋_GB2312" w:eastAsia="仿宋_GB2312" w:cs="仿宋_GB2312"/>
                <w:i w:val="0"/>
                <w:color w:val="auto"/>
                <w:kern w:val="0"/>
                <w:sz w:val="24"/>
                <w:szCs w:val="24"/>
                <w:u w:val="none"/>
                <w:lang w:val="en-US" w:eastAsia="zh-CN" w:bidi="ar"/>
              </w:rPr>
              <w:t>11</w:t>
            </w:r>
          </w:p>
        </w:tc>
        <w:tc>
          <w:tcPr>
            <w:tcW w:w="604" w:type="dxa"/>
            <w:tcBorders>
              <w:left w:val="nil"/>
            </w:tcBorders>
            <w:noWrap w:val="0"/>
            <w:vAlign w:val="center"/>
          </w:tcPr>
          <w:p>
            <w:pPr>
              <w:keepNext w:val="0"/>
              <w:keepLines w:val="0"/>
              <w:widowControl/>
              <w:suppressLineNumbers w:val="0"/>
              <w:jc w:val="center"/>
              <w:textAlignment w:val="center"/>
              <w:rPr>
                <w:color w:val="auto"/>
                <w:sz w:val="24"/>
              </w:rPr>
            </w:pPr>
            <w:r>
              <w:rPr>
                <w:rFonts w:hint="eastAsia" w:ascii="仿宋_GB2312" w:hAnsi="仿宋_GB2312" w:eastAsia="仿宋_GB2312" w:cs="仿宋_GB2312"/>
                <w:i w:val="0"/>
                <w:color w:val="auto"/>
                <w:kern w:val="0"/>
                <w:sz w:val="24"/>
                <w:szCs w:val="24"/>
                <w:u w:val="none"/>
                <w:lang w:val="en-US" w:eastAsia="zh-CN" w:bidi="ar"/>
              </w:rPr>
              <w:t>0</w:t>
            </w:r>
          </w:p>
        </w:tc>
        <w:tc>
          <w:tcPr>
            <w:tcW w:w="604" w:type="dxa"/>
            <w:tcBorders>
              <w:left w:val="nil"/>
            </w:tcBorders>
            <w:noWrap w:val="0"/>
            <w:vAlign w:val="center"/>
          </w:tcPr>
          <w:p>
            <w:pPr>
              <w:keepNext w:val="0"/>
              <w:keepLines w:val="0"/>
              <w:widowControl/>
              <w:suppressLineNumbers w:val="0"/>
              <w:jc w:val="center"/>
              <w:textAlignment w:val="center"/>
              <w:rPr>
                <w:color w:val="auto"/>
                <w:sz w:val="24"/>
              </w:rPr>
            </w:pPr>
            <w:r>
              <w:rPr>
                <w:rFonts w:hint="eastAsia" w:ascii="仿宋_GB2312" w:hAnsi="仿宋_GB2312" w:eastAsia="仿宋_GB2312" w:cs="仿宋_GB2312"/>
                <w:i w:val="0"/>
                <w:color w:val="auto"/>
                <w:kern w:val="0"/>
                <w:sz w:val="24"/>
                <w:szCs w:val="24"/>
                <w:u w:val="none"/>
                <w:lang w:val="en-US" w:eastAsia="zh-CN" w:bidi="ar"/>
              </w:rPr>
              <w:t>13</w:t>
            </w:r>
          </w:p>
        </w:tc>
        <w:tc>
          <w:tcPr>
            <w:tcW w:w="658" w:type="dxa"/>
            <w:tcBorders>
              <w:left w:val="nil"/>
            </w:tcBorders>
            <w:noWrap w:val="0"/>
            <w:vAlign w:val="center"/>
          </w:tcPr>
          <w:p>
            <w:pPr>
              <w:keepNext w:val="0"/>
              <w:keepLines w:val="0"/>
              <w:widowControl/>
              <w:suppressLineNumbers w:val="0"/>
              <w:jc w:val="center"/>
              <w:textAlignment w:val="center"/>
              <w:rPr>
                <w:rFonts w:hint="eastAsia" w:eastAsiaTheme="minorEastAsia"/>
                <w:color w:val="auto"/>
                <w:sz w:val="24"/>
                <w:lang w:val="en-US" w:eastAsia="zh-CN"/>
              </w:rPr>
            </w:pPr>
            <w:r>
              <w:rPr>
                <w:rFonts w:hint="eastAsia" w:ascii="仿宋_GB2312" w:hAnsi="仿宋_GB2312" w:eastAsia="仿宋_GB2312" w:cs="仿宋_GB2312"/>
                <w:i w:val="0"/>
                <w:color w:val="auto"/>
                <w:sz w:val="24"/>
                <w:szCs w:val="24"/>
                <w:u w:val="none"/>
                <w:lang w:val="en-US" w:eastAsia="zh-CN"/>
              </w:rPr>
              <w:t>40</w:t>
            </w:r>
          </w:p>
        </w:tc>
        <w:tc>
          <w:tcPr>
            <w:tcW w:w="549" w:type="dxa"/>
            <w:tcBorders>
              <w:left w:val="nil"/>
            </w:tcBorders>
            <w:noWrap w:val="0"/>
            <w:vAlign w:val="center"/>
          </w:tcPr>
          <w:p>
            <w:pPr>
              <w:keepNext w:val="0"/>
              <w:keepLines w:val="0"/>
              <w:widowControl/>
              <w:suppressLineNumbers w:val="0"/>
              <w:jc w:val="center"/>
              <w:textAlignment w:val="center"/>
              <w:rPr>
                <w:color w:val="auto"/>
                <w:sz w:val="24"/>
              </w:rPr>
            </w:pPr>
            <w:r>
              <w:rPr>
                <w:rFonts w:hint="eastAsia" w:ascii="仿宋_GB2312" w:hAnsi="仿宋_GB2312" w:eastAsia="仿宋_GB2312" w:cs="仿宋_GB2312"/>
                <w:i w:val="0"/>
                <w:color w:val="auto"/>
                <w:sz w:val="24"/>
                <w:szCs w:val="24"/>
                <w:u w:val="none"/>
                <w:lang w:val="en-US" w:eastAsia="zh-CN"/>
              </w:rPr>
              <w:t>6</w:t>
            </w:r>
          </w:p>
        </w:tc>
        <w:tc>
          <w:tcPr>
            <w:tcW w:w="603" w:type="dxa"/>
            <w:tcBorders>
              <w:left w:val="nil"/>
            </w:tcBorders>
            <w:noWrap w:val="0"/>
            <w:vAlign w:val="center"/>
          </w:tcPr>
          <w:p>
            <w:pPr>
              <w:keepNext w:val="0"/>
              <w:keepLines w:val="0"/>
              <w:widowControl/>
              <w:suppressLineNumbers w:val="0"/>
              <w:jc w:val="center"/>
              <w:textAlignment w:val="center"/>
              <w:rPr>
                <w:color w:val="auto"/>
                <w:sz w:val="24"/>
              </w:rPr>
            </w:pPr>
            <w:r>
              <w:rPr>
                <w:rFonts w:hint="eastAsia" w:ascii="仿宋_GB2312" w:hAnsi="仿宋_GB2312" w:eastAsia="仿宋_GB2312" w:cs="仿宋_GB2312"/>
                <w:i w:val="0"/>
                <w:color w:val="auto"/>
                <w:kern w:val="0"/>
                <w:sz w:val="24"/>
                <w:szCs w:val="24"/>
                <w:u w:val="none"/>
                <w:lang w:val="en-US" w:eastAsia="zh-CN" w:bidi="ar"/>
              </w:rPr>
              <w:t>4</w:t>
            </w:r>
          </w:p>
        </w:tc>
        <w:tc>
          <w:tcPr>
            <w:tcW w:w="603" w:type="dxa"/>
            <w:tcBorders>
              <w:left w:val="nil"/>
            </w:tcBorders>
            <w:noWrap w:val="0"/>
            <w:vAlign w:val="center"/>
          </w:tcPr>
          <w:p>
            <w:pPr>
              <w:keepNext w:val="0"/>
              <w:keepLines w:val="0"/>
              <w:widowControl/>
              <w:suppressLineNumbers w:val="0"/>
              <w:jc w:val="center"/>
              <w:textAlignment w:val="center"/>
              <w:rPr>
                <w:color w:val="auto"/>
                <w:sz w:val="24"/>
              </w:rPr>
            </w:pPr>
            <w:r>
              <w:rPr>
                <w:rFonts w:hint="eastAsia" w:ascii="仿宋_GB2312" w:hAnsi="仿宋_GB2312" w:eastAsia="仿宋_GB2312" w:cs="仿宋_GB2312"/>
                <w:i w:val="0"/>
                <w:color w:val="auto"/>
                <w:kern w:val="0"/>
                <w:sz w:val="24"/>
                <w:szCs w:val="24"/>
                <w:u w:val="none"/>
                <w:lang w:val="en-US" w:eastAsia="zh-CN" w:bidi="ar"/>
              </w:rPr>
              <w:t>0</w:t>
            </w:r>
          </w:p>
        </w:tc>
        <w:tc>
          <w:tcPr>
            <w:tcW w:w="603" w:type="dxa"/>
            <w:tcBorders>
              <w:left w:val="nil"/>
            </w:tcBorders>
            <w:noWrap w:val="0"/>
            <w:vAlign w:val="center"/>
          </w:tcPr>
          <w:p>
            <w:pPr>
              <w:keepNext w:val="0"/>
              <w:keepLines w:val="0"/>
              <w:widowControl/>
              <w:suppressLineNumbers w:val="0"/>
              <w:jc w:val="center"/>
              <w:textAlignment w:val="center"/>
              <w:rPr>
                <w:color w:val="auto"/>
                <w:sz w:val="24"/>
              </w:rPr>
            </w:pPr>
            <w:r>
              <w:rPr>
                <w:rFonts w:hint="eastAsia" w:ascii="仿宋_GB2312" w:hAnsi="仿宋_GB2312" w:eastAsia="仿宋_GB2312" w:cs="仿宋_GB2312"/>
                <w:i w:val="0"/>
                <w:color w:val="auto"/>
                <w:kern w:val="0"/>
                <w:sz w:val="24"/>
                <w:szCs w:val="24"/>
                <w:u w:val="none"/>
                <w:lang w:val="en-US" w:eastAsia="zh-CN" w:bidi="ar"/>
              </w:rPr>
              <w:t>6</w:t>
            </w:r>
          </w:p>
        </w:tc>
        <w:tc>
          <w:tcPr>
            <w:tcW w:w="607" w:type="dxa"/>
            <w:tcBorders>
              <w:left w:val="nil"/>
            </w:tcBorders>
            <w:noWrap w:val="0"/>
            <w:vAlign w:val="center"/>
          </w:tcPr>
          <w:p>
            <w:pPr>
              <w:keepNext w:val="0"/>
              <w:keepLines w:val="0"/>
              <w:widowControl/>
              <w:suppressLineNumbers w:val="0"/>
              <w:jc w:val="center"/>
              <w:textAlignment w:val="center"/>
              <w:rPr>
                <w:color w:val="auto"/>
                <w:sz w:val="24"/>
              </w:rPr>
            </w:pPr>
            <w:r>
              <w:rPr>
                <w:rFonts w:hint="eastAsia" w:ascii="仿宋_GB2312" w:hAnsi="仿宋_GB2312" w:eastAsia="仿宋_GB2312" w:cs="仿宋_GB2312"/>
                <w:i w:val="0"/>
                <w:color w:val="auto"/>
                <w:sz w:val="24"/>
                <w:szCs w:val="24"/>
                <w:u w:val="none"/>
                <w:lang w:val="en-US" w:eastAsia="zh-CN"/>
              </w:rPr>
              <w:t>16</w:t>
            </w:r>
          </w:p>
        </w:tc>
        <w:tc>
          <w:tcPr>
            <w:tcW w:w="603" w:type="dxa"/>
            <w:tcBorders>
              <w:left w:val="nil"/>
            </w:tcBorders>
            <w:noWrap w:val="0"/>
            <w:vAlign w:val="center"/>
          </w:tcPr>
          <w:p>
            <w:pPr>
              <w:keepNext w:val="0"/>
              <w:keepLines w:val="0"/>
              <w:widowControl/>
              <w:suppressLineNumbers w:val="0"/>
              <w:jc w:val="center"/>
              <w:textAlignment w:val="center"/>
              <w:rPr>
                <w:color w:val="auto"/>
                <w:sz w:val="24"/>
              </w:rPr>
            </w:pPr>
            <w:r>
              <w:rPr>
                <w:rFonts w:hint="eastAsia" w:ascii="仿宋_GB2312" w:hAnsi="仿宋_GB2312" w:eastAsia="仿宋_GB2312" w:cs="仿宋_GB2312"/>
                <w:i w:val="0"/>
                <w:color w:val="auto"/>
                <w:kern w:val="0"/>
                <w:sz w:val="24"/>
                <w:szCs w:val="24"/>
                <w:u w:val="none"/>
                <w:lang w:val="en-US" w:eastAsia="zh-CN" w:bidi="ar"/>
              </w:rPr>
              <w:t>1</w:t>
            </w:r>
          </w:p>
        </w:tc>
        <w:tc>
          <w:tcPr>
            <w:tcW w:w="603" w:type="dxa"/>
            <w:tcBorders>
              <w:left w:val="nil"/>
            </w:tcBorders>
            <w:noWrap w:val="0"/>
            <w:vAlign w:val="center"/>
          </w:tcPr>
          <w:p>
            <w:pPr>
              <w:keepNext w:val="0"/>
              <w:keepLines w:val="0"/>
              <w:widowControl/>
              <w:suppressLineNumbers w:val="0"/>
              <w:jc w:val="center"/>
              <w:textAlignment w:val="center"/>
              <w:rPr>
                <w:color w:val="auto"/>
                <w:sz w:val="24"/>
              </w:rPr>
            </w:pPr>
            <w:r>
              <w:rPr>
                <w:rFonts w:hint="eastAsia" w:ascii="仿宋_GB2312" w:hAnsi="仿宋_GB2312" w:eastAsia="仿宋_GB2312" w:cs="仿宋_GB2312"/>
                <w:i w:val="0"/>
                <w:color w:val="auto"/>
                <w:kern w:val="0"/>
                <w:sz w:val="24"/>
                <w:szCs w:val="24"/>
                <w:u w:val="none"/>
                <w:lang w:val="en-US" w:eastAsia="zh-CN" w:bidi="ar"/>
              </w:rPr>
              <w:t>1</w:t>
            </w:r>
          </w:p>
        </w:tc>
        <w:tc>
          <w:tcPr>
            <w:tcW w:w="603" w:type="dxa"/>
            <w:tcBorders>
              <w:left w:val="nil"/>
            </w:tcBorders>
            <w:noWrap w:val="0"/>
            <w:vAlign w:val="center"/>
          </w:tcPr>
          <w:p>
            <w:pPr>
              <w:keepNext w:val="0"/>
              <w:keepLines w:val="0"/>
              <w:widowControl/>
              <w:suppressLineNumbers w:val="0"/>
              <w:jc w:val="center"/>
              <w:textAlignment w:val="center"/>
              <w:rPr>
                <w:color w:val="auto"/>
                <w:sz w:val="24"/>
              </w:rPr>
            </w:pPr>
            <w:r>
              <w:rPr>
                <w:rFonts w:hint="eastAsia" w:ascii="仿宋_GB2312" w:hAnsi="仿宋_GB2312" w:eastAsia="仿宋_GB2312" w:cs="仿宋_GB2312"/>
                <w:i w:val="0"/>
                <w:color w:val="auto"/>
                <w:kern w:val="0"/>
                <w:sz w:val="24"/>
                <w:szCs w:val="24"/>
                <w:u w:val="none"/>
                <w:lang w:val="en-US" w:eastAsia="zh-CN" w:bidi="ar"/>
              </w:rPr>
              <w:t>1</w:t>
            </w:r>
          </w:p>
        </w:tc>
        <w:tc>
          <w:tcPr>
            <w:tcW w:w="605" w:type="dxa"/>
            <w:tcBorders>
              <w:left w:val="nil"/>
            </w:tcBorders>
            <w:noWrap w:val="0"/>
            <w:vAlign w:val="center"/>
          </w:tcPr>
          <w:p>
            <w:pPr>
              <w:keepNext w:val="0"/>
              <w:keepLines w:val="0"/>
              <w:widowControl/>
              <w:suppressLineNumbers w:val="0"/>
              <w:jc w:val="center"/>
              <w:textAlignment w:val="center"/>
              <w:rPr>
                <w:color w:val="auto"/>
                <w:sz w:val="24"/>
              </w:rPr>
            </w:pPr>
            <w:r>
              <w:rPr>
                <w:rFonts w:hint="eastAsia" w:ascii="仿宋_GB2312" w:hAnsi="仿宋_GB2312" w:eastAsia="仿宋_GB2312" w:cs="仿宋_GB2312"/>
                <w:i w:val="0"/>
                <w:color w:val="auto"/>
                <w:kern w:val="0"/>
                <w:sz w:val="24"/>
                <w:szCs w:val="24"/>
                <w:u w:val="none"/>
                <w:lang w:val="en-US" w:eastAsia="zh-CN" w:bidi="ar"/>
              </w:rPr>
              <w:t>3</w:t>
            </w:r>
          </w:p>
        </w:tc>
        <w:tc>
          <w:tcPr>
            <w:tcW w:w="607" w:type="dxa"/>
            <w:tcBorders>
              <w:left w:val="nil"/>
            </w:tcBorders>
            <w:noWrap w:val="0"/>
            <w:vAlign w:val="center"/>
          </w:tcPr>
          <w:p>
            <w:pPr>
              <w:keepNext w:val="0"/>
              <w:keepLines w:val="0"/>
              <w:widowControl/>
              <w:suppressLineNumbers w:val="0"/>
              <w:jc w:val="center"/>
              <w:textAlignment w:val="center"/>
              <w:rPr>
                <w:rFonts w:ascii="宋体" w:cs="宋体"/>
                <w:color w:val="auto"/>
                <w:sz w:val="24"/>
              </w:rPr>
            </w:pPr>
            <w:r>
              <w:rPr>
                <w:rFonts w:hint="eastAsia" w:ascii="仿宋_GB2312" w:hAnsi="仿宋_GB2312" w:eastAsia="仿宋_GB2312" w:cs="仿宋_GB2312"/>
                <w:i w:val="0"/>
                <w:color w:val="auto"/>
                <w:sz w:val="24"/>
                <w:szCs w:val="24"/>
                <w:u w:val="none"/>
                <w:lang w:val="en-US" w:eastAsia="zh-CN"/>
              </w:rPr>
              <w:t>6</w:t>
            </w:r>
          </w:p>
        </w:tc>
      </w:tr>
    </w:tbl>
    <w:p>
      <w:pPr>
        <w:pStyle w:val="6"/>
        <w:widowControl w:val="0"/>
        <w:spacing w:before="0" w:beforeAutospacing="0" w:after="0" w:afterAutospacing="0" w:line="560" w:lineRule="exact"/>
        <w:ind w:firstLine="640" w:firstLineChars="200"/>
        <w:jc w:val="both"/>
        <w:rPr>
          <w:rFonts w:ascii="黑体" w:hAnsi="黑体" w:eastAsia="黑体" w:cs="黑体"/>
          <w:bCs/>
          <w:color w:val="auto"/>
          <w:kern w:val="32"/>
          <w:sz w:val="32"/>
          <w:szCs w:val="32"/>
        </w:rPr>
      </w:pPr>
      <w:r>
        <w:rPr>
          <w:rFonts w:hint="eastAsia" w:ascii="黑体" w:hAnsi="黑体" w:eastAsia="黑体" w:cs="黑体"/>
          <w:bCs/>
          <w:color w:val="auto"/>
          <w:kern w:val="32"/>
          <w:sz w:val="32"/>
          <w:szCs w:val="32"/>
        </w:rPr>
        <w:t>五、存在的主要问题及改进情况</w:t>
      </w:r>
    </w:p>
    <w:p>
      <w:pPr>
        <w:pStyle w:val="6"/>
        <w:widowControl w:val="0"/>
        <w:spacing w:before="0" w:beforeAutospacing="0" w:after="0" w:afterAutospacing="0" w:line="560" w:lineRule="exact"/>
        <w:ind w:firstLine="640" w:firstLineChars="200"/>
        <w:jc w:val="both"/>
        <w:rPr>
          <w:rFonts w:hint="eastAsia" w:ascii="仿宋_GB2312" w:hAnsi="仿宋_GB2312" w:eastAsia="仿宋_GB2312" w:cs="仿宋_GB2312"/>
          <w:color w:val="auto"/>
          <w:kern w:val="32"/>
          <w:sz w:val="32"/>
          <w:szCs w:val="32"/>
          <w:lang w:eastAsia="zh-CN"/>
        </w:rPr>
      </w:pPr>
      <w:r>
        <w:rPr>
          <w:rFonts w:hint="eastAsia" w:ascii="仿宋_GB2312" w:hAnsi="仿宋_GB2312" w:eastAsia="仿宋_GB2312" w:cs="仿宋_GB2312"/>
          <w:color w:val="auto"/>
          <w:kern w:val="32"/>
          <w:sz w:val="32"/>
          <w:szCs w:val="32"/>
          <w:lang w:eastAsia="zh-CN"/>
        </w:rPr>
        <w:t>2020年，烟台市政府信息公开工作取得一定成效，但对照上级部署要求和企业、群众期盼，还存在一些问题和不足，主要是：</w:t>
      </w:r>
    </w:p>
    <w:p>
      <w:pPr>
        <w:pStyle w:val="6"/>
        <w:widowControl w:val="0"/>
        <w:spacing w:before="0" w:beforeAutospacing="0" w:after="0" w:afterAutospacing="0" w:line="560" w:lineRule="exact"/>
        <w:ind w:firstLine="640" w:firstLineChars="200"/>
        <w:jc w:val="both"/>
        <w:rPr>
          <w:rFonts w:hint="eastAsia" w:ascii="仿宋_GB2312" w:hAnsi="仿宋_GB2312" w:eastAsia="仿宋_GB2312" w:cs="仿宋_GB2312"/>
          <w:color w:val="auto"/>
          <w:kern w:val="32"/>
          <w:sz w:val="32"/>
          <w:szCs w:val="32"/>
          <w:lang w:eastAsia="zh-CN"/>
        </w:rPr>
      </w:pPr>
      <w:r>
        <w:rPr>
          <w:rFonts w:hint="eastAsia" w:ascii="楷体_GB2312" w:hAnsi="楷体_GB2312" w:eastAsia="楷体_GB2312" w:cs="楷体_GB2312"/>
          <w:color w:val="auto"/>
          <w:kern w:val="32"/>
          <w:sz w:val="32"/>
          <w:szCs w:val="32"/>
          <w:lang w:eastAsia="zh-CN"/>
        </w:rPr>
        <w:t>一是政务公开质量水平有待进一步提高。</w:t>
      </w:r>
      <w:r>
        <w:rPr>
          <w:rFonts w:hint="eastAsia" w:ascii="仿宋_GB2312" w:hAnsi="仿宋_GB2312" w:eastAsia="仿宋_GB2312" w:cs="仿宋_GB2312"/>
          <w:color w:val="auto"/>
          <w:kern w:val="32"/>
          <w:sz w:val="32"/>
          <w:szCs w:val="32"/>
          <w:lang w:eastAsia="zh-CN"/>
        </w:rPr>
        <w:t>政务公开的深度和广度有待进一步拓展，在服务群众生活、方便群众办事上，没有发挥政府信息公开的引领作用，政府网站和政务新媒体平台功能需进一步强化，公开渠道多样性与便利性的平衡点没有掌握，群众获得信息的精准性、时效性还有待加强。</w:t>
      </w:r>
    </w:p>
    <w:p>
      <w:pPr>
        <w:pStyle w:val="6"/>
        <w:widowControl w:val="0"/>
        <w:spacing w:before="0" w:beforeAutospacing="0" w:after="0" w:afterAutospacing="0" w:line="560" w:lineRule="exact"/>
        <w:ind w:firstLine="640" w:firstLineChars="200"/>
        <w:jc w:val="both"/>
        <w:rPr>
          <w:rFonts w:hint="eastAsia" w:ascii="仿宋_GB2312" w:hAnsi="仿宋_GB2312" w:eastAsia="仿宋_GB2312" w:cs="仿宋_GB2312"/>
          <w:color w:val="auto"/>
          <w:kern w:val="32"/>
          <w:sz w:val="32"/>
          <w:szCs w:val="32"/>
          <w:lang w:eastAsia="zh-CN"/>
        </w:rPr>
      </w:pPr>
      <w:r>
        <w:rPr>
          <w:rFonts w:hint="eastAsia" w:ascii="楷体_GB2312" w:hAnsi="楷体_GB2312" w:eastAsia="楷体_GB2312" w:cs="楷体_GB2312"/>
          <w:color w:val="auto"/>
          <w:kern w:val="32"/>
          <w:sz w:val="32"/>
          <w:szCs w:val="32"/>
          <w:lang w:eastAsia="zh-CN"/>
        </w:rPr>
        <w:t>二是政务公开队伍建设有待进一步加强。</w:t>
      </w:r>
      <w:r>
        <w:rPr>
          <w:rFonts w:hint="eastAsia" w:ascii="仿宋_GB2312" w:hAnsi="仿宋_GB2312" w:eastAsia="仿宋_GB2312" w:cs="仿宋_GB2312"/>
          <w:color w:val="auto"/>
          <w:kern w:val="32"/>
          <w:sz w:val="32"/>
          <w:szCs w:val="32"/>
          <w:lang w:eastAsia="zh-CN"/>
        </w:rPr>
        <w:t>政务公开队伍人员流动性大，稳定性、专业性不强，政务公开新规定、新政策落实不到位，政府信息管理机制有待进步一健全。少数单位特别是基层政务公开骨干队伍缺少专职人员和专业技能，且兼职多、流动性大，适应新形势新任务新要求还有较大差距。</w:t>
      </w:r>
    </w:p>
    <w:p>
      <w:pPr>
        <w:pStyle w:val="6"/>
        <w:widowControl w:val="0"/>
        <w:spacing w:before="0" w:beforeAutospacing="0" w:after="0" w:afterAutospacing="0" w:line="560" w:lineRule="exact"/>
        <w:ind w:firstLine="640" w:firstLineChars="200"/>
        <w:jc w:val="both"/>
        <w:rPr>
          <w:rFonts w:hint="eastAsia" w:ascii="仿宋_GB2312" w:hAnsi="仿宋_GB2312" w:eastAsia="仿宋_GB2312" w:cs="仿宋_GB2312"/>
          <w:color w:val="auto"/>
          <w:kern w:val="32"/>
          <w:sz w:val="32"/>
          <w:szCs w:val="32"/>
          <w:lang w:eastAsia="zh-CN"/>
        </w:rPr>
      </w:pPr>
      <w:r>
        <w:rPr>
          <w:rFonts w:hint="eastAsia" w:ascii="楷体_GB2312" w:hAnsi="楷体_GB2312" w:eastAsia="楷体_GB2312" w:cs="楷体_GB2312"/>
          <w:color w:val="auto"/>
          <w:kern w:val="32"/>
          <w:sz w:val="32"/>
          <w:szCs w:val="32"/>
          <w:lang w:eastAsia="zh-CN"/>
        </w:rPr>
        <w:t>三是政策解读质量有待进一步提升。</w:t>
      </w:r>
      <w:r>
        <w:rPr>
          <w:rFonts w:hint="eastAsia" w:ascii="仿宋_GB2312" w:hAnsi="仿宋_GB2312" w:eastAsia="仿宋_GB2312" w:cs="仿宋_GB2312"/>
          <w:color w:val="auto"/>
          <w:kern w:val="32"/>
          <w:sz w:val="32"/>
          <w:szCs w:val="32"/>
          <w:lang w:eastAsia="zh-CN"/>
        </w:rPr>
        <w:t>落实行政机关政策解读有关规定不到位，信息管理、政策发布、解读回应有序衔接的工作流程与日常业务结合度不高。各级各部门虽然在政策文件解读上下了一定功夫，基本做到“应解读、尽解读”，但个别单位政策解读的形式还是比较单一，驾驭新媒体、新平台的能力还不够强，解读材料不能及时按要求发布，政策解读的质量和水平有待提升。</w:t>
      </w:r>
    </w:p>
    <w:p>
      <w:pPr>
        <w:pStyle w:val="6"/>
        <w:widowControl w:val="0"/>
        <w:spacing w:before="0" w:beforeAutospacing="0" w:after="0" w:afterAutospacing="0" w:line="560" w:lineRule="exact"/>
        <w:ind w:firstLine="640" w:firstLineChars="200"/>
        <w:jc w:val="both"/>
        <w:rPr>
          <w:rFonts w:hint="eastAsia" w:ascii="仿宋_GB2312" w:hAnsi="仿宋_GB2312" w:eastAsia="仿宋_GB2312" w:cs="仿宋_GB2312"/>
          <w:color w:val="auto"/>
          <w:kern w:val="32"/>
          <w:sz w:val="32"/>
          <w:szCs w:val="32"/>
          <w:lang w:eastAsia="zh-CN"/>
        </w:rPr>
      </w:pPr>
      <w:r>
        <w:rPr>
          <w:rFonts w:hint="eastAsia" w:ascii="仿宋_GB2312" w:hAnsi="仿宋_GB2312" w:eastAsia="仿宋_GB2312" w:cs="仿宋_GB2312"/>
          <w:color w:val="auto"/>
          <w:kern w:val="32"/>
          <w:sz w:val="32"/>
          <w:szCs w:val="32"/>
          <w:lang w:eastAsia="zh-CN"/>
        </w:rPr>
        <w:t>针对存在的问题，下一步，我们将重点抓好以下几个方面工作：</w:t>
      </w:r>
    </w:p>
    <w:p>
      <w:pPr>
        <w:pStyle w:val="6"/>
        <w:widowControl w:val="0"/>
        <w:spacing w:before="0" w:beforeAutospacing="0" w:after="0" w:afterAutospacing="0" w:line="560" w:lineRule="exact"/>
        <w:ind w:firstLine="640" w:firstLineChars="200"/>
        <w:jc w:val="both"/>
        <w:rPr>
          <w:rFonts w:hint="eastAsia" w:ascii="仿宋_GB2312" w:hAnsi="仿宋_GB2312" w:eastAsia="仿宋_GB2312" w:cs="仿宋_GB2312"/>
          <w:color w:val="auto"/>
          <w:kern w:val="32"/>
          <w:sz w:val="32"/>
          <w:szCs w:val="32"/>
          <w:lang w:eastAsia="zh-CN"/>
        </w:rPr>
      </w:pPr>
      <w:r>
        <w:rPr>
          <w:rFonts w:hint="eastAsia" w:ascii="楷体_GB2312" w:hAnsi="楷体_GB2312" w:eastAsia="楷体_GB2312" w:cs="楷体_GB2312"/>
          <w:color w:val="auto"/>
          <w:kern w:val="32"/>
          <w:sz w:val="32"/>
          <w:szCs w:val="32"/>
          <w:lang w:eastAsia="zh-CN"/>
        </w:rPr>
        <w:t>一是进一步加强政务公开组织领导。</w:t>
      </w:r>
      <w:r>
        <w:rPr>
          <w:rFonts w:hint="eastAsia" w:ascii="仿宋_GB2312" w:hAnsi="仿宋_GB2312" w:eastAsia="仿宋_GB2312" w:cs="仿宋_GB2312"/>
          <w:color w:val="auto"/>
          <w:kern w:val="32"/>
          <w:sz w:val="32"/>
          <w:szCs w:val="32"/>
          <w:lang w:eastAsia="zh-CN"/>
        </w:rPr>
        <w:t>坚持以习近平新时代中国特色社会主义思想为指导，认真贯彻落实新《条例》和国务院、省政府的有关部署要求，坚持以人民为中心深入推进新时代政务公开，加强政府信息公开工作的组织领导和队伍建设，切实提升信息公开工作人员的专业能力和工作水平，发挥好政务公开在汇聚众智、凝聚共识、形成合力、推动解决问题等方面的积极作用，提升政务公开质量水平，以更高质量公开助力推进政府治理体系和治理能力“双提升”。</w:t>
      </w:r>
    </w:p>
    <w:p>
      <w:pPr>
        <w:pStyle w:val="6"/>
        <w:widowControl w:val="0"/>
        <w:spacing w:before="0" w:beforeAutospacing="0" w:after="0" w:afterAutospacing="0" w:line="560" w:lineRule="exact"/>
        <w:ind w:firstLine="640" w:firstLineChars="200"/>
        <w:jc w:val="both"/>
        <w:rPr>
          <w:rFonts w:hint="eastAsia" w:ascii="仿宋_GB2312" w:hAnsi="仿宋_GB2312" w:eastAsia="仿宋_GB2312" w:cs="仿宋_GB2312"/>
          <w:color w:val="auto"/>
          <w:kern w:val="32"/>
          <w:sz w:val="32"/>
          <w:szCs w:val="32"/>
          <w:lang w:eastAsia="zh-CN"/>
        </w:rPr>
      </w:pPr>
      <w:r>
        <w:rPr>
          <w:rFonts w:hint="eastAsia" w:ascii="楷体_GB2312" w:hAnsi="楷体_GB2312" w:eastAsia="楷体_GB2312" w:cs="楷体_GB2312"/>
          <w:color w:val="auto"/>
          <w:kern w:val="32"/>
          <w:sz w:val="32"/>
          <w:szCs w:val="32"/>
          <w:lang w:eastAsia="zh-CN"/>
        </w:rPr>
        <w:t>二是进一步稳固政务公开专职队伍。</w:t>
      </w:r>
      <w:r>
        <w:rPr>
          <w:rFonts w:hint="eastAsia" w:ascii="仿宋_GB2312" w:hAnsi="仿宋_GB2312" w:eastAsia="仿宋_GB2312" w:cs="仿宋_GB2312"/>
          <w:i w:val="0"/>
          <w:caps w:val="0"/>
          <w:color w:val="auto"/>
          <w:spacing w:val="0"/>
          <w:kern w:val="24"/>
          <w:sz w:val="32"/>
          <w:szCs w:val="32"/>
          <w:shd w:val="clear" w:color="auto" w:fill="FFFFFF"/>
          <w:lang w:val="en-US" w:eastAsia="zh-CN" w:bidi="ar-SA"/>
        </w:rPr>
        <w:t>持续开展多形式、多层次、多岗位的工作业务交流和培训，加强对重点领域相关部门新从事政务公开工作人员的轮训指导，有效提升全市政务公开工作人员的业务能力和水平。引导基层政府培育懂业务、好钻研、有能力的政务公开专职人员，</w:t>
      </w:r>
      <w:r>
        <w:rPr>
          <w:rFonts w:hint="eastAsia" w:ascii="仿宋_GB2312" w:hAnsi="仿宋_GB2312" w:eastAsia="仿宋_GB2312" w:cs="仿宋_GB2312"/>
          <w:color w:val="auto"/>
          <w:kern w:val="32"/>
          <w:sz w:val="32"/>
          <w:szCs w:val="32"/>
          <w:lang w:eastAsia="zh-CN"/>
        </w:rPr>
        <w:t>保证政务公开工作的延续性、稳定性和完整性。</w:t>
      </w:r>
    </w:p>
    <w:p>
      <w:pPr>
        <w:pStyle w:val="6"/>
        <w:widowControl w:val="0"/>
        <w:spacing w:before="0" w:beforeAutospacing="0" w:after="0" w:afterAutospacing="0" w:line="560" w:lineRule="exact"/>
        <w:ind w:firstLine="640" w:firstLineChars="200"/>
        <w:jc w:val="both"/>
        <w:rPr>
          <w:rFonts w:hint="eastAsia" w:ascii="仿宋_GB2312" w:hAnsi="仿宋_GB2312" w:eastAsia="仿宋_GB2312" w:cs="仿宋_GB2312"/>
          <w:color w:val="auto"/>
          <w:kern w:val="32"/>
          <w:sz w:val="32"/>
          <w:szCs w:val="32"/>
          <w:lang w:eastAsia="zh-CN"/>
        </w:rPr>
      </w:pPr>
      <w:r>
        <w:rPr>
          <w:rFonts w:hint="eastAsia" w:ascii="楷体_GB2312" w:hAnsi="楷体_GB2312" w:eastAsia="楷体_GB2312" w:cs="楷体_GB2312"/>
          <w:color w:val="auto"/>
          <w:kern w:val="32"/>
          <w:sz w:val="32"/>
          <w:szCs w:val="32"/>
          <w:lang w:eastAsia="zh-CN"/>
        </w:rPr>
        <w:t>三是进一步深化政策文件的公开解读。</w:t>
      </w:r>
      <w:r>
        <w:rPr>
          <w:rFonts w:hint="eastAsia" w:ascii="仿宋_GB2312" w:hAnsi="仿宋_GB2312" w:eastAsia="仿宋_GB2312" w:cs="仿宋_GB2312"/>
          <w:color w:val="auto"/>
          <w:kern w:val="32"/>
          <w:sz w:val="32"/>
          <w:szCs w:val="32"/>
          <w:lang w:eastAsia="zh-CN"/>
        </w:rPr>
        <w:t>深入推进文件审签流程制度化、程序化，加强政府网站政策解读专栏建设，高度整合现有媒体资源，充分挖掘优秀团队，做大做强做好政策文件的发布和解读，准确传递政策意图，引导社会预期，提振市场信心。</w:t>
      </w:r>
    </w:p>
    <w:p>
      <w:pPr>
        <w:pStyle w:val="6"/>
        <w:widowControl w:val="0"/>
        <w:spacing w:before="0" w:beforeAutospacing="0" w:after="0" w:afterAutospacing="0" w:line="560" w:lineRule="exact"/>
        <w:ind w:firstLine="640" w:firstLineChars="200"/>
        <w:jc w:val="both"/>
        <w:rPr>
          <w:rFonts w:ascii="黑体" w:hAnsi="黑体" w:eastAsia="黑体" w:cs="黑体"/>
          <w:bCs/>
          <w:color w:val="auto"/>
          <w:kern w:val="32"/>
          <w:sz w:val="32"/>
          <w:szCs w:val="32"/>
        </w:rPr>
      </w:pPr>
      <w:r>
        <w:rPr>
          <w:rFonts w:hint="eastAsia" w:ascii="黑体" w:hAnsi="黑体" w:eastAsia="黑体" w:cs="黑体"/>
          <w:bCs/>
          <w:color w:val="auto"/>
          <w:kern w:val="32"/>
          <w:sz w:val="32"/>
          <w:szCs w:val="32"/>
        </w:rPr>
        <w:t>六、其他需要报告的事项</w:t>
      </w:r>
    </w:p>
    <w:p>
      <w:pPr>
        <w:ind w:firstLine="640" w:firstLineChars="200"/>
        <w:rPr>
          <w:rFonts w:hint="eastAsia" w:ascii="仿宋_GB2312" w:hAnsi="仿宋_GB2312" w:cs="仿宋_GB2312" w:eastAsiaTheme="minorEastAsia"/>
          <w:color w:val="auto"/>
          <w:kern w:val="2"/>
          <w:sz w:val="32"/>
          <w:szCs w:val="32"/>
          <w:lang w:val="en-US" w:eastAsia="zh-CN" w:bidi="ar-SA"/>
        </w:rPr>
      </w:pPr>
      <w:r>
        <w:rPr>
          <w:rFonts w:hint="eastAsia" w:ascii="仿宋_GB2312" w:cs="宋体"/>
          <w:color w:val="auto"/>
          <w:kern w:val="32"/>
          <w:sz w:val="32"/>
          <w:szCs w:val="32"/>
          <w:lang w:eastAsia="zh-CN"/>
        </w:rPr>
        <w:t>无。</w:t>
      </w:r>
    </w:p>
    <w:p>
      <w:pPr>
        <w:rPr>
          <w:color w:val="auto"/>
        </w:rPr>
      </w:pPr>
    </w:p>
    <w:sectPr>
      <w:footerReference r:id="rId4" w:type="default"/>
      <w:pgSz w:w="11906" w:h="16838"/>
      <w:pgMar w:top="2098" w:right="1531" w:bottom="1984" w:left="1531"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Yu Mincho Light">
    <w:altName w:val="MS Mincho"/>
    <w:panose1 w:val="00000000000000000000"/>
    <w:charset w:val="80"/>
    <w:family w:val="roman"/>
    <w:pitch w:val="default"/>
    <w:sig w:usb0="00000000" w:usb1="00000000" w:usb2="00000012" w:usb3="00000000" w:csb0="0002009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S Mincho">
    <w:panose1 w:val="020206090402050803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BE7784"/>
    <w:rsid w:val="09634298"/>
    <w:rsid w:val="0A7205FE"/>
    <w:rsid w:val="0F912751"/>
    <w:rsid w:val="175B6A90"/>
    <w:rsid w:val="1879193A"/>
    <w:rsid w:val="1AD35795"/>
    <w:rsid w:val="1FB130D4"/>
    <w:rsid w:val="28330FA7"/>
    <w:rsid w:val="29A72D6A"/>
    <w:rsid w:val="37D83D46"/>
    <w:rsid w:val="39645062"/>
    <w:rsid w:val="57F60292"/>
    <w:rsid w:val="58FE09F4"/>
    <w:rsid w:val="5ABE7784"/>
    <w:rsid w:val="5B4F6972"/>
    <w:rsid w:val="636B47E0"/>
    <w:rsid w:val="65094002"/>
    <w:rsid w:val="6AB41D13"/>
    <w:rsid w:val="6C257EF6"/>
    <w:rsid w:val="6D016CFD"/>
    <w:rsid w:val="6DE57178"/>
    <w:rsid w:val="6E4A12AE"/>
    <w:rsid w:val="783C5C8A"/>
    <w:rsid w:val="79056725"/>
    <w:rsid w:val="791741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3"/>
    <w:basedOn w:val="1"/>
    <w:next w:val="1"/>
    <w:qFormat/>
    <w:uiPriority w:val="99"/>
    <w:pPr>
      <w:widowControl/>
      <w:jc w:val="left"/>
      <w:outlineLvl w:val="2"/>
    </w:pPr>
    <w:rPr>
      <w:rFonts w:hAnsi="宋体" w:cs="宋体"/>
      <w:b/>
      <w:bCs/>
      <w:kern w:val="0"/>
      <w:sz w:val="27"/>
      <w:szCs w:val="27"/>
    </w:rPr>
  </w:style>
  <w:style w:type="character" w:default="1" w:styleId="7">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2">
    <w:name w:val="toc 1"/>
    <w:basedOn w:val="1"/>
    <w:next w:val="1"/>
    <w:unhideWhenUsed/>
    <w:qFormat/>
    <w:uiPriority w:val="0"/>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widowControl/>
      <w:spacing w:before="100" w:beforeAutospacing="1" w:after="100" w:afterAutospacing="1"/>
      <w:jc w:val="left"/>
    </w:pPr>
    <w:rPr>
      <w:rFonts w:ascii="宋体" w:hAnsi="宋体"/>
      <w:kern w:val="0"/>
      <w:sz w:val="24"/>
      <w:szCs w:val="24"/>
    </w:rPr>
  </w:style>
  <w:style w:type="character" w:styleId="8">
    <w:name w:val="Strong"/>
    <w:basedOn w:val="7"/>
    <w:qFormat/>
    <w:uiPriority w:val="0"/>
    <w:rPr>
      <w:b/>
    </w:rPr>
  </w:style>
  <w:style w:type="paragraph" w:customStyle="1" w:styleId="10">
    <w:name w:val="List Paragraph1"/>
    <w:basedOn w:val="1"/>
    <w:qFormat/>
    <w:uiPriority w:val="99"/>
    <w:pPr>
      <w:ind w:firstLine="420" w:firstLineChars="200"/>
    </w:pPr>
    <w:rPr>
      <w:rFonts w:ascii="Yu Mincho Light" w:hAnsi="Yu Mincho Light" w:cs="Yu Mincho Light"/>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jpe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27</Words>
  <Characters>160</Characters>
  <Lines>1</Lines>
  <Paragraphs>1</Paragraphs>
  <TotalTime>6</TotalTime>
  <ScaleCrop>false</ScaleCrop>
  <LinksUpToDate>false</LinksUpToDate>
  <CharactersWithSpaces>186</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2019-12-26T09:26:00Z</dcterms:created>
  <dc:creator>xiaofei li</dc:creator>
  <cp:lastModifiedBy>诗人与熊</cp:lastModifiedBy>
  <cp:lastPrinted>2021-03-10T03:21:00Z</cp:lastPrinted>
  <dcterms:modified xsi:type="dcterms:W3CDTF">2021-04-01T07:01:05Z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y fmtid="{D5CDD505-2E9C-101B-9397-08002B2CF9AE}" pid="3" name="ICV">
    <vt:lpwstr>B8772B1427584E7CBF4A574CE194F8C2</vt:lpwstr>
  </property>
</Properties>
</file>