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附件4-1</w:t>
      </w:r>
    </w:p>
    <w:p>
      <w:pPr>
        <w:pStyle w:val="7"/>
        <w:spacing w:before="289" w:beforeLines="50" w:after="289" w:afterLines="5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烟台市六大化工产业园布局图</w:t>
      </w:r>
    </w:p>
    <w:p>
      <w:pPr>
        <w:pStyle w:val="7"/>
        <w:spacing w:before="289" w:beforeLines="50" w:after="289" w:afterLines="50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60960</wp:posOffset>
            </wp:positionV>
            <wp:extent cx="7611110" cy="4063365"/>
            <wp:effectExtent l="0" t="0" r="8890" b="13335"/>
            <wp:wrapNone/>
            <wp:docPr id="1" name="图片 18" descr="aa3019f1141119dc339c248ca2c5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 descr="aa3019f1141119dc339c248ca2c5a48"/>
                    <pic:cNvPicPr>
                      <a:picLocks noChangeAspect="1"/>
                    </pic:cNvPicPr>
                  </pic:nvPicPr>
                  <pic:blipFill>
                    <a:blip r:embed="rId8"/>
                    <a:srcRect b="5103"/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spacing w:line="560" w:lineRule="exact"/>
        <w:ind w:firstLine="632" w:firstLineChars="200"/>
        <w:rPr>
          <w:rFonts w:hAnsi="仿宋_GB2312" w:cs="仿宋_GB2312"/>
          <w:bCs/>
          <w:color w:val="00000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2098" w:bottom="1531" w:left="1985" w:header="851" w:footer="1418" w:gutter="0"/>
          <w:cols w:space="720" w:num="1"/>
          <w:docGrid w:type="linesAndChars" w:linePitch="579" w:charSpace="-849"/>
        </w:sectPr>
      </w:pPr>
    </w:p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/>
        </w:rPr>
        <w:t>附件4-2</w:t>
      </w:r>
    </w:p>
    <w:p>
      <w:pPr>
        <w:pStyle w:val="7"/>
        <w:spacing w:before="289" w:beforeLines="50" w:after="289" w:afterLines="5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园区及重点监控点产业发展目标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870"/>
        <w:gridCol w:w="1957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ascii="黑体" w:hAnsi="黑体" w:eastAsia="黑体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营业收入</w:t>
            </w:r>
          </w:p>
          <w:p>
            <w:pPr>
              <w:adjustRightInd w:val="0"/>
              <w:snapToGrid w:val="0"/>
              <w:ind w:firstLine="560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园区及重点监控点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ascii="黑体" w:hAnsi="黑体" w:eastAsia="黑体" w:cs="仿宋_GB2312"/>
                <w:sz w:val="24"/>
                <w:szCs w:val="24"/>
              </w:rPr>
              <w:t>2020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年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ascii="黑体" w:hAnsi="黑体" w:eastAsia="黑体" w:cs="仿宋_GB2312"/>
                <w:sz w:val="24"/>
                <w:szCs w:val="24"/>
              </w:rPr>
              <w:t>2023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化工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园区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烟台化工产业园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492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牟平恒邦化工产业园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莱阳化工产业园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23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蓬莱化工产业园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莱州银海化工产业园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2.23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山东裕龙石化产业园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合计（化工营收）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539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重点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监控点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道恩集团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42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山东玲珑轮胎股份有限公司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141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中节能万润股份有限公司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25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招金励福贵金属有限公司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126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龙口联合化学有限公司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山东福尔股份有限公司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8.4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烟台恒源生物股份有限公司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6.4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合计（化工营收）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354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454</w:t>
            </w:r>
          </w:p>
        </w:tc>
      </w:tr>
    </w:tbl>
    <w:p>
      <w:pPr>
        <w:spacing w:before="115" w:beforeLines="20" w:line="360" w:lineRule="exact"/>
        <w:ind w:left="762" w:leftChars="88" w:hanging="480" w:hangingChars="200"/>
        <w:rPr>
          <w:rFonts w:ascii="楷体_GB2312" w:hAnsi="仿宋_GB2312" w:eastAsia="楷体_GB2312" w:cs="仿宋_GB2312"/>
          <w:sz w:val="24"/>
          <w:szCs w:val="24"/>
        </w:rPr>
      </w:pPr>
      <w:r>
        <w:rPr>
          <w:rFonts w:hint="eastAsia" w:ascii="黑体" w:hAnsi="仿宋_GB2312" w:eastAsia="黑体" w:cs="仿宋_GB2312"/>
          <w:sz w:val="24"/>
          <w:szCs w:val="24"/>
        </w:rPr>
        <w:t>注：</w:t>
      </w:r>
      <w:r>
        <w:rPr>
          <w:rFonts w:hint="eastAsia" w:ascii="楷体_GB2312" w:hAnsi="仿宋_GB2312" w:eastAsia="楷体_GB2312" w:cs="仿宋_GB2312"/>
          <w:sz w:val="24"/>
          <w:szCs w:val="24"/>
        </w:rPr>
        <w:t>1.本表只计算化工营收。2.玲珑和万润作为上市公司不做预计，玲珑按照2020年营收乘以1.3计算，万润乘以1.4计算；3.裕龙岛2023年投产，作为试运行不易测算，此处仅计算200亿元的营收。4.所有企业只计算烟台本地营收。</w:t>
      </w:r>
    </w:p>
    <w:p>
      <w:pPr>
        <w:spacing w:line="400" w:lineRule="exact"/>
        <w:rPr>
          <w:rFonts w:ascii="黑体" w:hAnsi="黑体" w:eastAsia="黑体"/>
        </w:rPr>
      </w:pPr>
      <w:r>
        <w:rPr>
          <w:rFonts w:ascii="楷体_GB2312" w:hAnsi="仿宋_GB2312" w:eastAsia="楷体_GB2312" w:cs="仿宋_GB2312"/>
          <w:sz w:val="24"/>
          <w:szCs w:val="24"/>
        </w:rPr>
        <w:br w:type="page"/>
      </w:r>
      <w:r>
        <w:rPr>
          <w:rFonts w:hint="eastAsia" w:ascii="黑体" w:hAnsi="黑体" w:eastAsia="黑体"/>
        </w:rPr>
        <w:t>附件4-3</w:t>
      </w:r>
    </w:p>
    <w:p>
      <w:pPr>
        <w:pStyle w:val="7"/>
        <w:spacing w:before="173" w:beforeLines="30" w:after="173" w:afterLines="3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烟台化工产业园项目清单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765"/>
        <w:gridCol w:w="1203"/>
        <w:gridCol w:w="1133"/>
        <w:gridCol w:w="11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项目名称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主要投资方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投资总额（亿元）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开工</w:t>
            </w:r>
          </w:p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时间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竣工</w:t>
            </w:r>
          </w:p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时间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达产后营业</w:t>
            </w:r>
          </w:p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收入（亿元）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万华年产</w:t>
            </w:r>
            <w:r>
              <w:rPr>
                <w:rFonts w:hAnsi="仿宋_GB2312" w:cs="仿宋_GB2312"/>
                <w:sz w:val="24"/>
                <w:szCs w:val="24"/>
              </w:rPr>
              <w:t>48</w:t>
            </w:r>
            <w:r>
              <w:rPr>
                <w:rFonts w:hint="eastAsia" w:hAnsi="仿宋_GB2312" w:cs="仿宋_GB2312"/>
                <w:sz w:val="24"/>
                <w:szCs w:val="24"/>
              </w:rPr>
              <w:t>万吨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双酚</w:t>
            </w:r>
            <w:r>
              <w:rPr>
                <w:rFonts w:hAnsi="仿宋_GB2312" w:cs="仿宋_GB2312"/>
                <w:sz w:val="24"/>
                <w:szCs w:val="24"/>
              </w:rPr>
              <w:t>A</w:t>
            </w:r>
            <w:r>
              <w:rPr>
                <w:rFonts w:hint="eastAsia" w:hAnsi="仿宋_GB2312" w:cs="仿宋_GB2312"/>
                <w:sz w:val="24"/>
                <w:szCs w:val="24"/>
              </w:rPr>
              <w:t>一体化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万华化学集团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62.4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2021.1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2022.12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-6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spacing w:val="-6"/>
                <w:sz w:val="24"/>
                <w:szCs w:val="24"/>
              </w:rPr>
              <w:t>7.6</w:t>
            </w:r>
            <w:r>
              <w:rPr>
                <w:rFonts w:hint="eastAsia" w:hAnsi="仿宋_GB2312" w:cs="仿宋_GB2312"/>
                <w:spacing w:val="-6"/>
                <w:sz w:val="24"/>
                <w:szCs w:val="24"/>
              </w:rPr>
              <w:t>万吨柠檬醛及其衍生物一体化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万华化学集团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69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拟建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爱思开环保材料</w:t>
            </w:r>
            <w:r>
              <w:rPr>
                <w:rFonts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hAnsi="仿宋_GB2312" w:cs="仿宋_GB2312"/>
                <w:sz w:val="24"/>
                <w:szCs w:val="24"/>
              </w:rPr>
              <w:t>（烟台）有限公司</w:t>
            </w:r>
            <w:r>
              <w:rPr>
                <w:rFonts w:hAnsi="仿宋_GB2312" w:cs="仿宋_GB2312"/>
                <w:sz w:val="24"/>
                <w:szCs w:val="24"/>
              </w:rPr>
              <w:t>3</w:t>
            </w:r>
            <w:r>
              <w:rPr>
                <w:rFonts w:hint="eastAsia" w:hAnsi="仿宋_GB2312" w:cs="仿宋_GB2312"/>
                <w:sz w:val="24"/>
                <w:szCs w:val="24"/>
              </w:rPr>
              <w:t>0000吨胶黏剂、热塑性弹性体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SK</w:t>
            </w:r>
            <w:r>
              <w:rPr>
                <w:rFonts w:hint="eastAsia" w:hAnsi="仿宋_GB2312" w:cs="仿宋_GB2312"/>
                <w:sz w:val="24"/>
                <w:szCs w:val="24"/>
              </w:rPr>
              <w:t>化工株式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会社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7000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万美金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拟建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sz w:val="24"/>
                <w:szCs w:val="24"/>
              </w:rPr>
              <w:t>4</w:t>
            </w:r>
            <w:r>
              <w:rPr>
                <w:rFonts w:hint="eastAsia" w:hAnsi="仿宋_GB2312" w:cs="仿宋_GB2312"/>
                <w:sz w:val="24"/>
                <w:szCs w:val="24"/>
              </w:rPr>
              <w:t>万吨尼龙</w:t>
            </w:r>
            <w:r>
              <w:rPr>
                <w:rFonts w:hAnsi="仿宋_GB2312" w:cs="仿宋_GB2312"/>
                <w:sz w:val="24"/>
                <w:szCs w:val="24"/>
              </w:rPr>
              <w:t>12</w:t>
            </w:r>
            <w:r>
              <w:rPr>
                <w:rFonts w:hint="eastAsia" w:hAnsi="仿宋_GB2312" w:cs="仿宋_GB2312"/>
                <w:sz w:val="24"/>
                <w:szCs w:val="24"/>
              </w:rPr>
              <w:t>（</w:t>
            </w:r>
            <w:r>
              <w:rPr>
                <w:rFonts w:hAnsi="仿宋_GB2312" w:cs="仿宋_GB2312"/>
                <w:sz w:val="24"/>
                <w:szCs w:val="24"/>
              </w:rPr>
              <w:t>PA12</w:t>
            </w:r>
            <w:r>
              <w:rPr>
                <w:rFonts w:hint="eastAsia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万华化学集团股份有限公司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25.5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2020.4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防护用高性能间位芳纶高效集成产业化项目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泰和新材料股份有限公司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12.2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2019.7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高效差别化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粗旦氨纶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泰和新材料股份有限公司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2020.11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-6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spacing w:val="-6"/>
                <w:sz w:val="24"/>
                <w:szCs w:val="24"/>
              </w:rPr>
              <w:t>3000</w:t>
            </w:r>
            <w:r>
              <w:rPr>
                <w:rFonts w:hint="eastAsia" w:hAnsi="仿宋_GB2312" w:cs="仿宋_GB2312"/>
                <w:spacing w:val="-6"/>
                <w:sz w:val="24"/>
                <w:szCs w:val="24"/>
              </w:rPr>
              <w:t>吨高性能芳纶纸基材料产业化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民士达特种纸业股份公司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2.5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2020.12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顺酐及特种树脂工程项目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烟台东化新材料有限公司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13.88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2020.12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4000t/a</w:t>
            </w:r>
            <w:r>
              <w:rPr>
                <w:rFonts w:hint="eastAsia" w:hAnsi="仿宋_GB2312" w:cs="仿宋_GB2312"/>
                <w:sz w:val="24"/>
                <w:szCs w:val="24"/>
              </w:rPr>
              <w:t>丙二胺系列产品项目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万华成达化学有限公司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3.1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2020.12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pacing w:val="-12"/>
                <w:sz w:val="24"/>
                <w:szCs w:val="24"/>
              </w:rPr>
            </w:pPr>
            <w:r>
              <w:rPr>
                <w:rFonts w:hAnsi="仿宋_GB2312" w:cs="仿宋_GB2312"/>
                <w:spacing w:val="-12"/>
                <w:sz w:val="24"/>
                <w:szCs w:val="24"/>
              </w:rPr>
              <w:t>OLED</w:t>
            </w:r>
            <w:r>
              <w:rPr>
                <w:rFonts w:hint="eastAsia" w:hAnsi="仿宋_GB2312" w:cs="仿宋_GB2312"/>
                <w:spacing w:val="-12"/>
                <w:sz w:val="24"/>
                <w:szCs w:val="24"/>
              </w:rPr>
              <w:t>显示材料及其他功能性材料项目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烟台九目化学股份有限公司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2020.12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sz w:val="24"/>
                <w:szCs w:val="24"/>
              </w:rPr>
              <w:t>10.2</w:t>
            </w:r>
            <w:r>
              <w:rPr>
                <w:rFonts w:hint="eastAsia" w:hAnsi="仿宋_GB2312" w:cs="仿宋_GB2312"/>
                <w:sz w:val="24"/>
                <w:szCs w:val="24"/>
              </w:rPr>
              <w:t>万吨</w:t>
            </w:r>
            <w:r>
              <w:rPr>
                <w:rFonts w:hAnsi="仿宋_GB2312" w:cs="仿宋_GB2312"/>
                <w:sz w:val="24"/>
                <w:szCs w:val="24"/>
              </w:rPr>
              <w:t>/</w:t>
            </w:r>
            <w:r>
              <w:rPr>
                <w:rFonts w:hint="eastAsia" w:hAnsi="仿宋_GB2312" w:cs="仿宋_GB2312"/>
                <w:sz w:val="24"/>
                <w:szCs w:val="24"/>
              </w:rPr>
              <w:t>年环保型涂料搬迁改造项目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-14"/>
                <w:sz w:val="24"/>
                <w:szCs w:val="24"/>
              </w:rPr>
              <w:t>海虹老人涂料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-14"/>
                <w:sz w:val="24"/>
                <w:szCs w:val="24"/>
              </w:rPr>
              <w:t>（烟台）有限公司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</w:rPr>
              <w:t>亿美元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2020.6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2021.12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</w:t>
            </w:r>
            <w:r>
              <w:rPr>
                <w:rFonts w:hint="eastAsia" w:hAnsi="仿宋_GB2312" w:cs="仿宋_GB2312"/>
                <w:sz w:val="24"/>
                <w:szCs w:val="24"/>
              </w:rPr>
              <w:t>万吨</w:t>
            </w:r>
            <w:r>
              <w:rPr>
                <w:rFonts w:hAnsi="仿宋_GB2312" w:cs="仿宋_GB2312"/>
                <w:sz w:val="24"/>
                <w:szCs w:val="24"/>
              </w:rPr>
              <w:t>/</w:t>
            </w:r>
            <w:r>
              <w:rPr>
                <w:rFonts w:hint="eastAsia" w:hAnsi="仿宋_GB2312" w:cs="仿宋_GB2312"/>
                <w:sz w:val="24"/>
                <w:szCs w:val="24"/>
              </w:rPr>
              <w:t>年聚氨酯树脂项目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华大化学（烟台）有限公司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5.4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2020.12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2022.12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sz w:val="24"/>
                <w:szCs w:val="24"/>
              </w:rPr>
              <w:t>20</w:t>
            </w:r>
            <w:r>
              <w:rPr>
                <w:rFonts w:hint="eastAsia" w:hAnsi="仿宋_GB2312" w:cs="仿宋_GB2312"/>
                <w:sz w:val="24"/>
                <w:szCs w:val="24"/>
              </w:rPr>
              <w:t>万吨弹性体一体化项目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美瑞新材料股份有限公司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3.66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拟建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烟台万顺新材料公司年产</w:t>
            </w:r>
            <w:r>
              <w:rPr>
                <w:rFonts w:hAnsi="仿宋_GB2312" w:cs="仿宋_GB2312"/>
                <w:sz w:val="24"/>
                <w:szCs w:val="24"/>
              </w:rPr>
              <w:t>18</w:t>
            </w:r>
            <w:r>
              <w:rPr>
                <w:rFonts w:hint="eastAsia" w:hAnsi="仿宋_GB2312" w:cs="仿宋_GB2312"/>
                <w:sz w:val="24"/>
                <w:szCs w:val="24"/>
              </w:rPr>
              <w:t>万吨高性能树脂项目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烟台顺达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香港永顺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拟建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2023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35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附件4-4</w:t>
      </w:r>
    </w:p>
    <w:p>
      <w:pPr>
        <w:pStyle w:val="7"/>
        <w:spacing w:before="173" w:beforeLines="30" w:after="173" w:afterLines="3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蓬莱化工产业园项目清单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357"/>
        <w:gridCol w:w="1073"/>
        <w:gridCol w:w="1019"/>
        <w:gridCol w:w="993"/>
        <w:gridCol w:w="1174"/>
        <w:gridCol w:w="1211"/>
        <w:gridCol w:w="1219"/>
        <w:gridCol w:w="1048"/>
        <w:gridCol w:w="1051"/>
        <w:gridCol w:w="97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重点项目清单</w:t>
            </w:r>
          </w:p>
        </w:tc>
        <w:tc>
          <w:tcPr>
            <w:tcW w:w="6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招商引资项目清单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投资方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12"/>
                <w:sz w:val="24"/>
                <w:szCs w:val="24"/>
              </w:rPr>
              <w:t>投资总额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开工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竣工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达产后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投资方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投资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总额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开工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竣工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达产后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营业收入（亿元）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BOPP双向拉伸薄膜及特种胶带生产基地项目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山东友谊胶粘科技公司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2021年3月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2023年10月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碳纳米管项目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烟台杰瑞石油服务集团股份有限公司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2030年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年产2万吨染料中间体及数码油墨改造项目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烟台安诺其精细化工公司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2020年1月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2021年7月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聚甲基丙烯酰亚胺（PMI）泡沫生产项目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澳琪实业（香港）有限公司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2024年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年产2万吨新型染料/染料中间体项目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烟台嘉信化学科技公司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2020年6月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2021年12月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乙烯基甲酰胺及下游产品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生产项目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烟台浩昇投资有限公司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北大高科原料药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生产基地项目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山东北大高科华泰制药公司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2021年3月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2022年6月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新材料工业园项目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中节能万润股份有限公司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热敏纸显色剂和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增感剂项目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hAnsi="仿宋_GB2312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4"/>
                <w:szCs w:val="24"/>
              </w:rPr>
              <w:t>康爱特维迅蓬莱公司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2021年3月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2022年12月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泰和新材料项目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4"/>
                <w:szCs w:val="24"/>
              </w:rPr>
              <w:t>烟台泰和新材料股份有限公司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新光颜料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中间体项目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蓬莱新光颜料化工有限公司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2022年3月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2022年12月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空气分离项目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美国空气公司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1000万美元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山东嘉信年产17.2万吨染料及中间体新建项目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山东嘉信新材料公司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10月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2023年12月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分散染料中间体绿色智能制造连续化改造项目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烟台安诺其精细化工公司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红卫抗氧剂项目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蓬莱红卫化工有限公司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2022年3月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2023年6月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微反应器连续硝化生产2，4-二硝基氯苯项目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上海安诺其集团股份有限公司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2022年5月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2023年12月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万华（蓬莱）新材料低碳产业园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万华化学集团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2023年6月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烟台市中科化工新材料成果转换示范基地项目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烟台先进材料与绿色制造山东省实验室、烟台中科先进材料与绿色化工产业技术研究院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2021年10月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2022年12月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附件4-5</w:t>
      </w:r>
    </w:p>
    <w:p>
      <w:pPr>
        <w:pStyle w:val="7"/>
        <w:spacing w:before="289" w:beforeLines="50" w:after="289" w:afterLines="50"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莱阳化工产业园项目清单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98"/>
        <w:gridCol w:w="1055"/>
        <w:gridCol w:w="1078"/>
        <w:gridCol w:w="1029"/>
        <w:gridCol w:w="1086"/>
        <w:gridCol w:w="1218"/>
        <w:gridCol w:w="1232"/>
        <w:gridCol w:w="1118"/>
        <w:gridCol w:w="978"/>
        <w:gridCol w:w="955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重点项目清单</w:t>
            </w:r>
          </w:p>
        </w:tc>
        <w:tc>
          <w:tcPr>
            <w:tcW w:w="6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招商引资项目清单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主要投资方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14"/>
                <w:sz w:val="24"/>
                <w:szCs w:val="24"/>
              </w:rPr>
              <w:t>投资总额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开工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竣工时间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12"/>
                <w:sz w:val="24"/>
                <w:szCs w:val="24"/>
              </w:rPr>
              <w:t>达产后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12"/>
                <w:sz w:val="24"/>
                <w:szCs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投资方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投资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总额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开工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竣工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达产后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烟台润丰化工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陈英志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2021年（在建）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国药集团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中国医药集团有限公司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2025年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烟台中科荣达新材料有限公司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青岛中科荣达新材料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1.276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2021年（在建）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6"/>
                <w:sz w:val="24"/>
                <w:szCs w:val="24"/>
              </w:rPr>
              <w:t>万润新材料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中节能万润股份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2024年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中瑞化工扩建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烟台中瑞化工有限公司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2020年（在建）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多维药业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多维药业集团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2026年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盛华医药中间体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山东盛华新材料科技股份有限公司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2021年（在建）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泰和新材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烟台泰和新材料股份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有限公司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2026年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200</w:t>
            </w:r>
          </w:p>
        </w:tc>
      </w:tr>
    </w:tbl>
    <w:p>
      <w:pPr>
        <w:pStyle w:val="2"/>
        <w:spacing w:after="0"/>
        <w:rPr>
          <w:rFonts w:ascii="黑体" w:hAnsi="黑体" w:eastAsia="黑体"/>
        </w:rPr>
      </w:pPr>
      <w:r>
        <w:rPr>
          <w:rFonts w:hAnsi="仿宋_GB2312" w:cs="仿宋_GB2312"/>
          <w:szCs w:val="21"/>
        </w:rPr>
        <w:br w:type="page"/>
      </w:r>
      <w:r>
        <w:rPr>
          <w:rFonts w:hint="eastAsia" w:ascii="黑体" w:hAnsi="黑体" w:eastAsia="黑体"/>
        </w:rPr>
        <w:t>附件4-6</w:t>
      </w:r>
    </w:p>
    <w:p>
      <w:pPr>
        <w:pStyle w:val="7"/>
        <w:spacing w:before="289" w:beforeLines="50" w:after="289" w:afterLines="50" w:line="56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莱州化工产业园项目清单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13"/>
        <w:gridCol w:w="738"/>
        <w:gridCol w:w="604"/>
        <w:gridCol w:w="604"/>
        <w:gridCol w:w="733"/>
        <w:gridCol w:w="853"/>
        <w:gridCol w:w="727"/>
        <w:gridCol w:w="674"/>
        <w:gridCol w:w="657"/>
        <w:gridCol w:w="604"/>
        <w:gridCol w:w="727"/>
        <w:gridCol w:w="604"/>
        <w:gridCol w:w="604"/>
        <w:gridCol w:w="797"/>
        <w:gridCol w:w="604"/>
        <w:gridCol w:w="60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tblHeader/>
          <w:jc w:val="center"/>
        </w:trPr>
        <w:tc>
          <w:tcPr>
            <w:tcW w:w="4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重点项目清单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招商引资项目清单</w:t>
            </w:r>
          </w:p>
        </w:tc>
        <w:tc>
          <w:tcPr>
            <w:tcW w:w="5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基础设施项目清单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项目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投资方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投资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总额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14"/>
                <w:sz w:val="21"/>
                <w:szCs w:val="21"/>
              </w:rPr>
              <w:t>（亿元）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开工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竣工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20"/>
                <w:sz w:val="21"/>
                <w:szCs w:val="21"/>
              </w:rPr>
              <w:t>达产后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20"/>
                <w:sz w:val="21"/>
                <w:szCs w:val="21"/>
              </w:rPr>
              <w:t>营业收入</w:t>
            </w:r>
            <w:r>
              <w:rPr>
                <w:rFonts w:hint="eastAsia" w:ascii="黑体" w:hAnsi="黑体" w:eastAsia="黑体" w:cs="仿宋_GB2312"/>
                <w:color w:val="000000"/>
                <w:spacing w:val="-10"/>
                <w:sz w:val="21"/>
                <w:szCs w:val="21"/>
              </w:rPr>
              <w:t>（亿元）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项目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投资方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投资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总额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12"/>
                <w:sz w:val="21"/>
                <w:szCs w:val="21"/>
              </w:rPr>
              <w:t>（亿元）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开工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竣工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20"/>
                <w:sz w:val="21"/>
                <w:szCs w:val="21"/>
              </w:rPr>
              <w:t>达产后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20"/>
                <w:sz w:val="21"/>
                <w:szCs w:val="21"/>
              </w:rPr>
              <w:t>营业收入</w:t>
            </w:r>
            <w:r>
              <w:rPr>
                <w:rFonts w:hint="eastAsia" w:ascii="黑体" w:hAnsi="黑体" w:eastAsia="黑体" w:cs="仿宋_GB2312"/>
                <w:color w:val="000000"/>
                <w:spacing w:val="-10"/>
                <w:sz w:val="21"/>
                <w:szCs w:val="21"/>
              </w:rPr>
              <w:t>（亿元）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项目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14"/>
                <w:sz w:val="21"/>
                <w:szCs w:val="21"/>
              </w:rPr>
              <w:t>投资方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投资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总额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（亿元）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开工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竣工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1"/>
                <w:szCs w:val="21"/>
              </w:rPr>
              <w:t>带动能力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600T/a螺螨酯中间体改建项目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山东永农作物科学有限公司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2021年10月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2022年4月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齐翔腾达碳三、碳四一体化项目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淄博齐翔腾达化工股份有限公司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在谈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莱州银海化工产业园基础设施建设项目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中国二十二冶集团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left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总投资62.32亿元，一期投资20亿元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2021年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2023年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8"/>
                <w:sz w:val="21"/>
                <w:szCs w:val="21"/>
              </w:rPr>
              <w:t>一期投资20亿元，完善5平方公里起步区内的道路、供电、通信、供热、燃气、应急中心危化品停车场等。为园区项目建设提供“六通一平”。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溴素深加工产业园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莱州市溴素深加工企业搬迁入园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1"/>
                <w:szCs w:val="21"/>
              </w:rPr>
              <w:t>2021年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1"/>
                <w:szCs w:val="21"/>
              </w:rPr>
              <w:t>2023年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23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中节能新材料项目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中节能万润股份有限公司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在谈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园区光伏发电及储能项目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中国华电集团有限公司山东公司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left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总投资40亿元，一期投资24.9亿元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2021年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2022年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建设100万千瓦光伏发电项目，一期60万千瓦，同步建设储能电站，争取源网荷储一体化项目，发电量约70800万kWh，销售收入27888万元，年可实现税收2000万元。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镁盐深加工产业园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莱州市内镁盐企业搬迁入园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2021年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2023年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中国化学新材料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产业园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8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8"/>
                <w:sz w:val="21"/>
                <w:szCs w:val="21"/>
              </w:rPr>
              <w:t>中国化学股份有限公司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在谈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13万吨海水淡化项目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  <w:t>中国华电集团有限公司山东公司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2022年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2024年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建</w:t>
            </w:r>
            <w:r>
              <w:rPr>
                <w:rFonts w:hint="eastAsia" w:hAnsi="仿宋_GB2312" w:cs="仿宋_GB2312"/>
                <w:color w:val="000000"/>
                <w:spacing w:val="-6"/>
                <w:sz w:val="21"/>
                <w:szCs w:val="21"/>
              </w:rPr>
              <w:t>设总规模13万吨/日的海水淡化项目，一期建设5万吨/日的海水淡化项目，解决园区内淡水供应不足的瓶颈。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水基阻垢剂、甲基八溴醚、氮磷阻燃剂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8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8"/>
                <w:sz w:val="21"/>
                <w:szCs w:val="21"/>
              </w:rPr>
              <w:t>莱州迪龙化工有限公司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2021年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2022年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园区分布式集中供热项目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  <w:t>中国华电集团有限公司山东公司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47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2022年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2024年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在</w:t>
            </w:r>
            <w:r>
              <w:rPr>
                <w:rFonts w:hint="eastAsia" w:hAnsi="仿宋_GB2312" w:cs="仿宋_GB2312"/>
                <w:color w:val="000000"/>
                <w:spacing w:val="-6"/>
                <w:sz w:val="21"/>
                <w:szCs w:val="21"/>
              </w:rPr>
              <w:t>园区内建设包括并不限于6台220T/H燃气锅炉和2台9F级燃气蒸汽联合循环机组的分布式集中供热，为园区项目提供热源供应。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24万吨/年硫酸生产项目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山东鸿承资源综合利用有限公司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3.37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2021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年底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2022年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园区污水处理厂建设项目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  <w:t>浙江巨能环境公司和毅康科技联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  <w:t>合体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2021年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2023年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总占地200亩，总规模</w:t>
            </w:r>
            <w:r>
              <w:rPr>
                <w:rFonts w:hint="eastAsia" w:hAnsi="仿宋_GB2312" w:cs="仿宋_GB2312"/>
                <w:color w:val="000000"/>
                <w:spacing w:val="-6"/>
                <w:sz w:val="21"/>
                <w:szCs w:val="21"/>
              </w:rPr>
              <w:t>日处理能力8万方，其中一期1万吨/日，根据项目入驻情况，预留扩建的空间。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40万吨/年高硅浮选尾矿资源化回收利用项目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山东鸿承资源综合利用有限公司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2.16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2022年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2"/>
                <w:sz w:val="21"/>
                <w:szCs w:val="21"/>
              </w:rPr>
              <w:t>2023年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8"/>
                <w:sz w:val="21"/>
                <w:szCs w:val="21"/>
              </w:rPr>
              <w:t>园区天然气供应项目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6"/>
                <w:sz w:val="21"/>
                <w:szCs w:val="21"/>
              </w:rPr>
              <w:t>山东实华天然气有限公司和润发投资集团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2021年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pacing w:val="-10"/>
                <w:sz w:val="21"/>
                <w:szCs w:val="21"/>
              </w:rPr>
              <w:t>2023年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spacing w:line="300" w:lineRule="exact"/>
              <w:ind w:left="-64" w:leftChars="-20" w:right="-64" w:rightChars="-20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山东实华是中石化天然气分公司下属二级单位，独立开户、直接采购，具有第一手的低价气源，该公司能为园区提供最优惠的天然气直供气方案。</w:t>
            </w:r>
          </w:p>
        </w:tc>
      </w:tr>
    </w:tbl>
    <w:p>
      <w:pPr>
        <w:pStyle w:val="2"/>
        <w:rPr>
          <w:rFonts w:ascii="黑体" w:hAnsi="黑体" w:eastAsia="黑体"/>
        </w:rPr>
      </w:pPr>
      <w:r>
        <w:rPr>
          <w:rFonts w:hAnsi="仿宋_GB2312" w:cs="仿宋_GB2312"/>
          <w:szCs w:val="21"/>
        </w:rPr>
        <w:br w:type="page"/>
      </w:r>
      <w:r>
        <w:rPr>
          <w:rFonts w:hint="eastAsia" w:ascii="黑体" w:hAnsi="黑体" w:eastAsia="黑体"/>
        </w:rPr>
        <w:t>附件4-7</w:t>
      </w:r>
    </w:p>
    <w:p>
      <w:pPr>
        <w:pStyle w:val="7"/>
        <w:spacing w:before="289" w:beforeLines="50" w:after="289" w:afterLines="50" w:line="56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牟平化工产业园项目清单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309"/>
        <w:gridCol w:w="1154"/>
        <w:gridCol w:w="969"/>
        <w:gridCol w:w="844"/>
        <w:gridCol w:w="1524"/>
        <w:gridCol w:w="1467"/>
        <w:gridCol w:w="1053"/>
        <w:gridCol w:w="844"/>
        <w:gridCol w:w="593"/>
        <w:gridCol w:w="84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  <w:jc w:val="center"/>
        </w:trPr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重点项目清单</w:t>
            </w:r>
          </w:p>
        </w:tc>
        <w:tc>
          <w:tcPr>
            <w:tcW w:w="5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园区基础设施项目清单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主要投资方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投资总额（亿元）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开工时间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竣工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达产后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营业收入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投资方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投资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总额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-10"/>
                <w:sz w:val="24"/>
                <w:szCs w:val="24"/>
              </w:rPr>
              <w:t>（亿元）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开工时间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竣工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带动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辽上金矿扩界、扩能采选建设工程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山东恒邦冶炼股份有限公司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12.3251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2021年（拟建）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2025年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6.4555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G206威汕线</w:t>
            </w:r>
          </w:p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改建项目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地方政府投资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13.9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拟建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2023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年底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复杂金精矿多元素综合回收项目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山东恒邦冶炼股份有限公司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42.7003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2021年（拟建）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2024年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173.0578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有毒有害气体环境风险预警体系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地方政府投资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0.19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8月上旬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9月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上旬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-10"/>
                <w:sz w:val="24"/>
                <w:szCs w:val="24"/>
              </w:rPr>
              <w:t>10万吨锌锭含锌烟灰深度处理项目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山东恒邦冶炼股份有限公司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2023年（拟建）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2025年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精炼公司稀贵金属扩能技术改造项目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山东恒邦冶炼股份有限公司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2.07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2022年（拟建）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2023年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269.53379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高纯新材料的研制及产业化项目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山东恒邦冶炼股份有限公司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3.3629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2020年（在建）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2023年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1.076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金属砷自动化清洁生产技术研发及产业化项目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山东恒邦冶炼股份有限公司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0.5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2021年（拟建）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2022年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0.6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-4"/>
                <w:sz w:val="24"/>
                <w:szCs w:val="24"/>
              </w:rPr>
              <w:t>精炼公司稀贵金属扩能技术改造项目（粗锑、铅铋合金电解精炼部分）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山东恒邦冶炼股份有限公司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1.920704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2022年（拟建）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2022年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7.872673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4" w:type="dxa"/>
              <w:right w:w="74" w:type="dxa"/>
            </w:tcMar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24C36"/>
    <w:rsid w:val="548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2021-12-29T01:43:00Z</dcterms:created>
  <dc:creator>Administrator</dc:creator>
  <cp:lastModifiedBy>Administrator</cp:lastModifiedBy>
  <dcterms:modified xsi:type="dcterms:W3CDTF">2021-12-29T01:46:01Z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94426B68ACAE4F51B3489AB3EF2A34FA</vt:lpwstr>
  </property>
</Properties>
</file>